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1D3" w:rsidRDefault="000F01D3" w:rsidP="000F01D3">
      <w:pPr>
        <w:rPr>
          <w:rFonts w:ascii="Verdana" w:hAnsi="Verdana"/>
        </w:rPr>
      </w:pPr>
    </w:p>
    <w:p w:rsidR="000F01D3" w:rsidRPr="003A070C" w:rsidRDefault="000F01D3" w:rsidP="000F01D3">
      <w:pPr>
        <w:rPr>
          <w:rFonts w:ascii="Verdana" w:hAnsi="Verdana"/>
        </w:rPr>
      </w:pPr>
    </w:p>
    <w:p w:rsidR="000F01D3" w:rsidRPr="007315EA" w:rsidRDefault="000F01D3" w:rsidP="000F01D3">
      <w:pPr>
        <w:pBdr>
          <w:top w:val="single" w:sz="4" w:space="1" w:color="943634"/>
          <w:bottom w:val="single" w:sz="4" w:space="1" w:color="943634"/>
        </w:pBdr>
        <w:jc w:val="center"/>
        <w:rPr>
          <w:rFonts w:ascii="Verdana" w:hAnsi="Verdana"/>
          <w:color w:val="800000"/>
          <w:sz w:val="56"/>
          <w:szCs w:val="56"/>
        </w:rPr>
      </w:pPr>
      <w:r w:rsidRPr="007315EA">
        <w:rPr>
          <w:rFonts w:ascii="Verdana" w:hAnsi="Verdana"/>
          <w:color w:val="800000"/>
          <w:sz w:val="56"/>
          <w:szCs w:val="56"/>
        </w:rPr>
        <w:t xml:space="preserve">El </w:t>
      </w:r>
      <w:r w:rsidRPr="007315EA">
        <w:rPr>
          <w:rFonts w:ascii="Verdana" w:hAnsi="Verdana"/>
          <w:b/>
          <w:color w:val="800000"/>
          <w:sz w:val="56"/>
          <w:szCs w:val="56"/>
        </w:rPr>
        <w:t>CGPJ</w:t>
      </w:r>
      <w:r w:rsidRPr="007315EA">
        <w:rPr>
          <w:rFonts w:ascii="Verdana" w:hAnsi="Verdana"/>
          <w:color w:val="800000"/>
          <w:sz w:val="56"/>
          <w:szCs w:val="56"/>
        </w:rPr>
        <w:t xml:space="preserve"> informa</w:t>
      </w:r>
    </w:p>
    <w:p w:rsidR="000F01D3" w:rsidRDefault="000F01D3" w:rsidP="000F01D3">
      <w:pPr>
        <w:rPr>
          <w:rFonts w:ascii="Verdana" w:hAnsi="Verdana"/>
          <w:b/>
          <w:sz w:val="28"/>
          <w:szCs w:val="28"/>
        </w:rPr>
      </w:pPr>
    </w:p>
    <w:p w:rsidR="000F01D3" w:rsidRPr="00B611D1" w:rsidRDefault="00655BD7" w:rsidP="000F01D3">
      <w:pPr>
        <w:jc w:val="center"/>
        <w:rPr>
          <w:rFonts w:ascii="Verdana" w:hAnsi="Verdana"/>
          <w:b/>
          <w:sz w:val="28"/>
          <w:szCs w:val="28"/>
        </w:rPr>
      </w:pPr>
      <w:r>
        <w:rPr>
          <w:rFonts w:ascii="Verdana" w:hAnsi="Verdana"/>
          <w:b/>
          <w:sz w:val="28"/>
          <w:szCs w:val="28"/>
        </w:rPr>
        <w:t xml:space="preserve">La tendencia al alza de los concursos durante 2021 supuso un aumento del </w:t>
      </w:r>
      <w:r w:rsidR="00B611D1" w:rsidRPr="00B611D1">
        <w:rPr>
          <w:rFonts w:ascii="Verdana" w:hAnsi="Verdana"/>
          <w:b/>
          <w:sz w:val="28"/>
          <w:szCs w:val="28"/>
        </w:rPr>
        <w:t xml:space="preserve">37,5 por ciento respecto a 2020 y </w:t>
      </w:r>
      <w:r>
        <w:rPr>
          <w:rFonts w:ascii="Verdana" w:hAnsi="Verdana"/>
          <w:b/>
          <w:sz w:val="28"/>
          <w:szCs w:val="28"/>
        </w:rPr>
        <w:t>del</w:t>
      </w:r>
      <w:r w:rsidR="00B611D1" w:rsidRPr="00B611D1">
        <w:rPr>
          <w:rFonts w:ascii="Verdana" w:hAnsi="Verdana"/>
          <w:b/>
          <w:sz w:val="28"/>
          <w:szCs w:val="28"/>
        </w:rPr>
        <w:t xml:space="preserve"> 57 % </w:t>
      </w:r>
      <w:r>
        <w:rPr>
          <w:rFonts w:ascii="Verdana" w:hAnsi="Verdana"/>
          <w:b/>
          <w:sz w:val="28"/>
          <w:szCs w:val="28"/>
        </w:rPr>
        <w:t>en relación con</w:t>
      </w:r>
      <w:r w:rsidR="00B611D1" w:rsidRPr="00B611D1">
        <w:rPr>
          <w:rFonts w:ascii="Verdana" w:hAnsi="Verdana"/>
          <w:b/>
          <w:sz w:val="28"/>
          <w:szCs w:val="28"/>
        </w:rPr>
        <w:t xml:space="preserve"> 2019</w:t>
      </w:r>
    </w:p>
    <w:p w:rsidR="000F01D3" w:rsidRPr="00DC121F" w:rsidRDefault="000F01D3" w:rsidP="000F01D3">
      <w:pPr>
        <w:ind w:left="720"/>
        <w:jc w:val="both"/>
        <w:rPr>
          <w:rFonts w:ascii="Verdana" w:hAnsi="Verdana"/>
        </w:rPr>
      </w:pPr>
    </w:p>
    <w:p w:rsidR="000F01D3" w:rsidRPr="00992C97" w:rsidRDefault="00DC121F" w:rsidP="00DC121F">
      <w:pPr>
        <w:numPr>
          <w:ilvl w:val="0"/>
          <w:numId w:val="1"/>
        </w:numPr>
        <w:jc w:val="both"/>
        <w:rPr>
          <w:rFonts w:ascii="Verdana" w:hAnsi="Verdana"/>
        </w:rPr>
      </w:pPr>
      <w:r w:rsidRPr="00992C97">
        <w:rPr>
          <w:rFonts w:ascii="Verdana" w:hAnsi="Verdana"/>
        </w:rPr>
        <w:t xml:space="preserve">Los que más crecieron fueron los de personas físicas no empresarios, que </w:t>
      </w:r>
      <w:r w:rsidR="00DD5744">
        <w:rPr>
          <w:rFonts w:ascii="Verdana" w:hAnsi="Verdana"/>
        </w:rPr>
        <w:t>mostr</w:t>
      </w:r>
      <w:r w:rsidRPr="00992C97">
        <w:rPr>
          <w:rFonts w:ascii="Verdana" w:hAnsi="Verdana"/>
        </w:rPr>
        <w:t>aron un incremento del 45,6 por ciento respecto a 2020 y del 96,7 por ciento respecto a 2019</w:t>
      </w:r>
    </w:p>
    <w:p w:rsidR="00DC121F" w:rsidRPr="00992C97" w:rsidRDefault="00DC121F" w:rsidP="00DC121F">
      <w:pPr>
        <w:ind w:left="720"/>
        <w:jc w:val="both"/>
        <w:rPr>
          <w:rFonts w:ascii="Verdana" w:hAnsi="Verdana"/>
        </w:rPr>
      </w:pPr>
    </w:p>
    <w:p w:rsidR="007227B9" w:rsidRPr="002E1EB9" w:rsidRDefault="007227B9" w:rsidP="007227B9">
      <w:pPr>
        <w:numPr>
          <w:ilvl w:val="0"/>
          <w:numId w:val="1"/>
        </w:numPr>
        <w:jc w:val="both"/>
        <w:rPr>
          <w:rFonts w:ascii="Verdana" w:hAnsi="Verdana"/>
        </w:rPr>
      </w:pPr>
      <w:r w:rsidRPr="00992C97">
        <w:rPr>
          <w:rFonts w:ascii="Verdana" w:hAnsi="Verdana"/>
        </w:rPr>
        <w:t xml:space="preserve">Los lanzamientos por impago del alquiler experimentaron un aumento interanual del 37,1 % y los derivados de ejecuciones </w:t>
      </w:r>
      <w:r w:rsidRPr="002E1EB9">
        <w:rPr>
          <w:rFonts w:ascii="Verdana" w:hAnsi="Verdana"/>
        </w:rPr>
        <w:t>hipotecarias, del 46,1 %; ambos disminuyeron respecto a 2019</w:t>
      </w:r>
    </w:p>
    <w:p w:rsidR="000F01D3" w:rsidRPr="002E1EB9" w:rsidRDefault="000F01D3" w:rsidP="000F01D3">
      <w:pPr>
        <w:ind w:left="720"/>
        <w:jc w:val="both"/>
        <w:rPr>
          <w:rFonts w:ascii="Verdana" w:hAnsi="Verdana"/>
        </w:rPr>
      </w:pPr>
    </w:p>
    <w:p w:rsidR="000F01D3" w:rsidRPr="006D0823" w:rsidRDefault="002E1EB9" w:rsidP="000B4E06">
      <w:pPr>
        <w:numPr>
          <w:ilvl w:val="0"/>
          <w:numId w:val="1"/>
        </w:numPr>
        <w:jc w:val="both"/>
        <w:rPr>
          <w:rFonts w:ascii="Verdana" w:hAnsi="Verdana"/>
        </w:rPr>
      </w:pPr>
      <w:r w:rsidRPr="002E1EB9">
        <w:rPr>
          <w:rFonts w:ascii="Verdana" w:hAnsi="Verdana"/>
        </w:rPr>
        <w:t xml:space="preserve">Se presentaron </w:t>
      </w:r>
      <w:r w:rsidRPr="002E1EB9">
        <w:rPr>
          <w:rFonts w:ascii="Verdana" w:hAnsi="Verdana"/>
          <w:sz w:val="22"/>
          <w:szCs w:val="22"/>
        </w:rPr>
        <w:t xml:space="preserve">27.874 </w:t>
      </w:r>
      <w:r w:rsidR="000F01D3" w:rsidRPr="002E1EB9">
        <w:rPr>
          <w:rFonts w:ascii="Verdana" w:hAnsi="Verdana"/>
        </w:rPr>
        <w:t>ejecuciones hipotecarias</w:t>
      </w:r>
      <w:r w:rsidRPr="002E1EB9">
        <w:rPr>
          <w:rFonts w:ascii="Verdana" w:hAnsi="Verdana"/>
        </w:rPr>
        <w:t xml:space="preserve">, un 36,2 % más </w:t>
      </w:r>
      <w:r w:rsidRPr="006D0823">
        <w:rPr>
          <w:rFonts w:ascii="Verdana" w:hAnsi="Verdana"/>
        </w:rPr>
        <w:t>que el año anterior y un 28,8 % menos que en 2019</w:t>
      </w:r>
    </w:p>
    <w:p w:rsidR="002E1EB9" w:rsidRPr="006D0823" w:rsidRDefault="002E1EB9" w:rsidP="002E1EB9">
      <w:pPr>
        <w:jc w:val="both"/>
        <w:rPr>
          <w:rFonts w:ascii="Verdana" w:hAnsi="Verdana"/>
        </w:rPr>
      </w:pPr>
    </w:p>
    <w:p w:rsidR="000F01D3" w:rsidRPr="006D0823" w:rsidRDefault="006D0823" w:rsidP="006D0823">
      <w:pPr>
        <w:numPr>
          <w:ilvl w:val="0"/>
          <w:numId w:val="1"/>
        </w:numPr>
        <w:jc w:val="both"/>
        <w:rPr>
          <w:rFonts w:ascii="Verdana" w:hAnsi="Verdana"/>
          <w:sz w:val="22"/>
          <w:szCs w:val="22"/>
        </w:rPr>
      </w:pPr>
      <w:r w:rsidRPr="006D0823">
        <w:rPr>
          <w:rFonts w:ascii="Verdana" w:hAnsi="Verdana"/>
        </w:rPr>
        <w:t>Las 117.293 demandas por despido presentadas en 2021 supusieron una disminución interanual del 9,3 por ciento</w:t>
      </w:r>
    </w:p>
    <w:p w:rsidR="006D0823" w:rsidRDefault="006D0823" w:rsidP="006D0823">
      <w:pPr>
        <w:pStyle w:val="Prrafodelista"/>
        <w:rPr>
          <w:rFonts w:ascii="Verdana" w:hAnsi="Verdana"/>
          <w:sz w:val="22"/>
          <w:szCs w:val="22"/>
          <w:highlight w:val="yellow"/>
        </w:rPr>
      </w:pPr>
    </w:p>
    <w:p w:rsidR="006D0823" w:rsidRPr="006D0823" w:rsidRDefault="006D0823" w:rsidP="006D0823">
      <w:pPr>
        <w:jc w:val="both"/>
        <w:rPr>
          <w:rFonts w:ascii="Verdana" w:hAnsi="Verdana"/>
          <w:sz w:val="22"/>
          <w:szCs w:val="22"/>
          <w:highlight w:val="yellow"/>
        </w:rPr>
      </w:pPr>
    </w:p>
    <w:p w:rsidR="000F01D3" w:rsidRPr="007315EA" w:rsidRDefault="000F01D3" w:rsidP="000F01D3">
      <w:pPr>
        <w:jc w:val="both"/>
        <w:rPr>
          <w:rFonts w:ascii="Verdana" w:hAnsi="Verdana"/>
          <w:sz w:val="22"/>
          <w:szCs w:val="22"/>
        </w:rPr>
      </w:pPr>
      <w:r w:rsidRPr="007315EA">
        <w:rPr>
          <w:rFonts w:ascii="Verdana" w:hAnsi="Verdana"/>
          <w:sz w:val="22"/>
          <w:szCs w:val="22"/>
        </w:rPr>
        <w:t>Madrid, 4 de marzo de 2022.-</w:t>
      </w:r>
    </w:p>
    <w:p w:rsidR="000F01D3" w:rsidRDefault="000F01D3" w:rsidP="000F01D3">
      <w:pPr>
        <w:jc w:val="both"/>
        <w:rPr>
          <w:rFonts w:ascii="Verdana" w:hAnsi="Verdana"/>
          <w:sz w:val="22"/>
          <w:szCs w:val="22"/>
        </w:rPr>
      </w:pPr>
    </w:p>
    <w:p w:rsidR="00E40245" w:rsidRDefault="00B611D1" w:rsidP="00E40245">
      <w:pPr>
        <w:jc w:val="both"/>
        <w:rPr>
          <w:rFonts w:ascii="Verdana" w:hAnsi="Verdana"/>
          <w:sz w:val="22"/>
          <w:szCs w:val="22"/>
        </w:rPr>
      </w:pPr>
      <w:r>
        <w:rPr>
          <w:rFonts w:ascii="Verdana" w:hAnsi="Verdana"/>
          <w:sz w:val="22"/>
          <w:szCs w:val="22"/>
        </w:rPr>
        <w:t xml:space="preserve">Durante 2021, los concursos mostraron una tendencia al alza que se mantuvo de forma sostenida hasta final de año. </w:t>
      </w:r>
      <w:r w:rsidR="00BC2852" w:rsidRPr="007315EA">
        <w:rPr>
          <w:rFonts w:ascii="Verdana" w:hAnsi="Verdana"/>
          <w:sz w:val="22"/>
          <w:szCs w:val="22"/>
        </w:rPr>
        <w:t xml:space="preserve">El número </w:t>
      </w:r>
      <w:r w:rsidR="00E40245">
        <w:rPr>
          <w:rFonts w:ascii="Verdana" w:hAnsi="Verdana"/>
          <w:sz w:val="22"/>
          <w:szCs w:val="22"/>
        </w:rPr>
        <w:t xml:space="preserve">total </w:t>
      </w:r>
      <w:r w:rsidR="00BC2852" w:rsidRPr="007315EA">
        <w:rPr>
          <w:rFonts w:ascii="Verdana" w:hAnsi="Verdana"/>
          <w:sz w:val="22"/>
          <w:szCs w:val="22"/>
        </w:rPr>
        <w:t>de concursos</w:t>
      </w:r>
      <w:r>
        <w:rPr>
          <w:rFonts w:ascii="Verdana" w:hAnsi="Verdana"/>
          <w:sz w:val="22"/>
          <w:szCs w:val="22"/>
        </w:rPr>
        <w:t xml:space="preserve"> </w:t>
      </w:r>
      <w:r w:rsidR="00BC2852" w:rsidRPr="007315EA">
        <w:rPr>
          <w:rFonts w:ascii="Verdana" w:hAnsi="Verdana"/>
          <w:sz w:val="22"/>
          <w:szCs w:val="22"/>
        </w:rPr>
        <w:t xml:space="preserve">fue de 18.892, </w:t>
      </w:r>
      <w:r>
        <w:rPr>
          <w:rFonts w:ascii="Verdana" w:hAnsi="Verdana"/>
          <w:sz w:val="22"/>
          <w:szCs w:val="22"/>
        </w:rPr>
        <w:t>lo que supone</w:t>
      </w:r>
      <w:r w:rsidR="00E40245">
        <w:rPr>
          <w:rFonts w:ascii="Verdana" w:hAnsi="Verdana"/>
          <w:sz w:val="22"/>
          <w:szCs w:val="22"/>
        </w:rPr>
        <w:t xml:space="preserve"> un </w:t>
      </w:r>
      <w:r>
        <w:rPr>
          <w:rFonts w:ascii="Verdana" w:hAnsi="Verdana"/>
          <w:sz w:val="22"/>
          <w:szCs w:val="22"/>
        </w:rPr>
        <w:t xml:space="preserve">aumento </w:t>
      </w:r>
      <w:r w:rsidR="00E40245">
        <w:rPr>
          <w:rFonts w:ascii="Verdana" w:hAnsi="Verdana"/>
          <w:sz w:val="22"/>
          <w:szCs w:val="22"/>
        </w:rPr>
        <w:t>del</w:t>
      </w:r>
      <w:r w:rsidR="00BC2852" w:rsidRPr="007315EA">
        <w:rPr>
          <w:rFonts w:ascii="Verdana" w:hAnsi="Verdana"/>
          <w:sz w:val="22"/>
          <w:szCs w:val="22"/>
        </w:rPr>
        <w:t xml:space="preserve"> 37,5</w:t>
      </w:r>
      <w:r w:rsidR="00BC2852">
        <w:rPr>
          <w:rFonts w:ascii="Verdana" w:hAnsi="Verdana"/>
          <w:sz w:val="22"/>
          <w:szCs w:val="22"/>
        </w:rPr>
        <w:t xml:space="preserve"> </w:t>
      </w:r>
      <w:r w:rsidR="00BC2852" w:rsidRPr="007315EA">
        <w:rPr>
          <w:rFonts w:ascii="Verdana" w:hAnsi="Verdana"/>
          <w:sz w:val="22"/>
          <w:szCs w:val="22"/>
        </w:rPr>
        <w:t xml:space="preserve">% </w:t>
      </w:r>
      <w:r w:rsidR="00E40245">
        <w:rPr>
          <w:rFonts w:ascii="Verdana" w:hAnsi="Verdana"/>
          <w:sz w:val="22"/>
          <w:szCs w:val="22"/>
        </w:rPr>
        <w:t xml:space="preserve">respecto a 2020 y del </w:t>
      </w:r>
      <w:r w:rsidR="00BC2852" w:rsidRPr="007315EA">
        <w:rPr>
          <w:rFonts w:ascii="Verdana" w:hAnsi="Verdana"/>
          <w:sz w:val="22"/>
          <w:szCs w:val="22"/>
        </w:rPr>
        <w:t xml:space="preserve">57 </w:t>
      </w:r>
      <w:r w:rsidR="00E40245">
        <w:rPr>
          <w:rFonts w:ascii="Verdana" w:hAnsi="Verdana"/>
          <w:sz w:val="22"/>
          <w:szCs w:val="22"/>
        </w:rPr>
        <w:t xml:space="preserve">% en relación con 2019, </w:t>
      </w:r>
      <w:r w:rsidR="00E40245" w:rsidRPr="00E40245">
        <w:rPr>
          <w:rFonts w:ascii="Verdana" w:hAnsi="Verdana"/>
          <w:sz w:val="22"/>
          <w:szCs w:val="22"/>
        </w:rPr>
        <w:t>según el informe “Efectos de la crisis económica en los órganos judiciales” que hoy ha hecho público la Sección de Estadística del Consejo General del Poder Judicial.</w:t>
      </w:r>
      <w:r w:rsidR="00E40245">
        <w:rPr>
          <w:rFonts w:ascii="Verdana" w:hAnsi="Verdana"/>
          <w:sz w:val="22"/>
          <w:szCs w:val="22"/>
        </w:rPr>
        <w:t xml:space="preserve"> La evolución de los datos que recoge el informe se </w:t>
      </w:r>
      <w:r>
        <w:rPr>
          <w:rFonts w:ascii="Verdana" w:hAnsi="Verdana"/>
          <w:sz w:val="22"/>
          <w:szCs w:val="22"/>
        </w:rPr>
        <w:t xml:space="preserve">ha </w:t>
      </w:r>
      <w:r w:rsidR="00E40245">
        <w:rPr>
          <w:rFonts w:ascii="Verdana" w:hAnsi="Verdana"/>
          <w:sz w:val="22"/>
          <w:szCs w:val="22"/>
        </w:rPr>
        <w:t>complementa</w:t>
      </w:r>
      <w:r>
        <w:rPr>
          <w:rFonts w:ascii="Verdana" w:hAnsi="Verdana"/>
          <w:sz w:val="22"/>
          <w:szCs w:val="22"/>
        </w:rPr>
        <w:t>do</w:t>
      </w:r>
      <w:r w:rsidR="00E40245">
        <w:rPr>
          <w:rFonts w:ascii="Verdana" w:hAnsi="Verdana"/>
          <w:sz w:val="22"/>
          <w:szCs w:val="22"/>
        </w:rPr>
        <w:t xml:space="preserve"> un trimestre más con los de 2019, dada la importante incidencia que la crisis sanitaria causada por el COVID-19 tuvo durante 2020 en el funcionamiento de los órganos judiciales.  </w:t>
      </w:r>
    </w:p>
    <w:p w:rsidR="00E40245" w:rsidRDefault="00E40245" w:rsidP="00BC2852">
      <w:pPr>
        <w:jc w:val="both"/>
        <w:rPr>
          <w:rFonts w:ascii="Verdana" w:hAnsi="Verdana"/>
          <w:sz w:val="22"/>
          <w:szCs w:val="22"/>
        </w:rPr>
      </w:pPr>
    </w:p>
    <w:p w:rsidR="00BC2852" w:rsidRPr="007315EA" w:rsidRDefault="00BC2852" w:rsidP="00BC2852">
      <w:pPr>
        <w:jc w:val="both"/>
        <w:rPr>
          <w:rFonts w:ascii="Verdana" w:hAnsi="Verdana"/>
          <w:sz w:val="22"/>
          <w:szCs w:val="22"/>
        </w:rPr>
      </w:pPr>
      <w:r w:rsidRPr="007315EA">
        <w:rPr>
          <w:rFonts w:ascii="Verdana" w:hAnsi="Verdana"/>
          <w:sz w:val="22"/>
          <w:szCs w:val="22"/>
        </w:rPr>
        <w:t>De</w:t>
      </w:r>
      <w:r w:rsidR="000E1ADF">
        <w:rPr>
          <w:rFonts w:ascii="Verdana" w:hAnsi="Verdana"/>
          <w:sz w:val="22"/>
          <w:szCs w:val="22"/>
        </w:rPr>
        <w:t>l total de 18.892 concursos presentados durante el pasado ejercicio,</w:t>
      </w:r>
      <w:r w:rsidRPr="007315EA">
        <w:rPr>
          <w:rFonts w:ascii="Verdana" w:hAnsi="Verdana"/>
          <w:sz w:val="22"/>
          <w:szCs w:val="22"/>
        </w:rPr>
        <w:t xml:space="preserve"> 10.006 corresponden a concursos presentados por personas físicas sin actividad empresarial –cuya competencia corresponde desde el 1 de enero de 2015 a los Juzgados de Primera Instancia y de Primera Instancia e Instrucción-, mientras que los otros 8.886 se registraron en los Juzgados de lo Mercantil. De lo</w:t>
      </w:r>
      <w:r>
        <w:rPr>
          <w:rFonts w:ascii="Verdana" w:hAnsi="Verdana"/>
          <w:sz w:val="22"/>
          <w:szCs w:val="22"/>
        </w:rPr>
        <w:t>s concursos presentados en los J</w:t>
      </w:r>
      <w:r w:rsidRPr="007315EA">
        <w:rPr>
          <w:rFonts w:ascii="Verdana" w:hAnsi="Verdana"/>
          <w:sz w:val="22"/>
          <w:szCs w:val="22"/>
        </w:rPr>
        <w:t xml:space="preserve">uzgados de lo </w:t>
      </w:r>
      <w:r>
        <w:rPr>
          <w:rFonts w:ascii="Verdana" w:hAnsi="Verdana"/>
          <w:sz w:val="22"/>
          <w:szCs w:val="22"/>
        </w:rPr>
        <w:t>M</w:t>
      </w:r>
      <w:r w:rsidRPr="007315EA">
        <w:rPr>
          <w:rFonts w:ascii="Verdana" w:hAnsi="Verdana"/>
          <w:sz w:val="22"/>
          <w:szCs w:val="22"/>
        </w:rPr>
        <w:t>ercantil, 5.374 correspondieron a personas jurídicas y 3.512 a personas físicas empresarios.</w:t>
      </w:r>
    </w:p>
    <w:p w:rsidR="00BC2852" w:rsidRDefault="00BC2852" w:rsidP="00BC2852">
      <w:pPr>
        <w:jc w:val="both"/>
        <w:rPr>
          <w:rFonts w:ascii="Verdana" w:hAnsi="Verdana"/>
          <w:sz w:val="22"/>
          <w:szCs w:val="22"/>
        </w:rPr>
      </w:pPr>
      <w:r w:rsidRPr="007315EA">
        <w:rPr>
          <w:rFonts w:ascii="Verdana" w:hAnsi="Verdana"/>
          <w:sz w:val="22"/>
          <w:szCs w:val="22"/>
        </w:rPr>
        <w:lastRenderedPageBreak/>
        <w:t>Los concursos de personas físicas</w:t>
      </w:r>
      <w:r>
        <w:rPr>
          <w:rFonts w:ascii="Verdana" w:hAnsi="Verdana"/>
          <w:sz w:val="22"/>
          <w:szCs w:val="22"/>
        </w:rPr>
        <w:t xml:space="preserve"> no empresarios</w:t>
      </w:r>
      <w:r w:rsidRPr="007315EA">
        <w:rPr>
          <w:rFonts w:ascii="Verdana" w:hAnsi="Verdana"/>
          <w:sz w:val="22"/>
          <w:szCs w:val="22"/>
        </w:rPr>
        <w:t xml:space="preserve"> han mostrado en toda España un incremento </w:t>
      </w:r>
      <w:r w:rsidRPr="00DC121F">
        <w:rPr>
          <w:rFonts w:ascii="Verdana" w:hAnsi="Verdana"/>
          <w:sz w:val="22"/>
          <w:szCs w:val="22"/>
        </w:rPr>
        <w:t>del 45,6 por ciento respecto a 2020 y del 96,7 por</w:t>
      </w:r>
      <w:r w:rsidRPr="007315EA">
        <w:rPr>
          <w:rFonts w:ascii="Verdana" w:hAnsi="Verdana"/>
          <w:sz w:val="22"/>
          <w:szCs w:val="22"/>
        </w:rPr>
        <w:t xml:space="preserve"> ciento respecto a 2019. La </w:t>
      </w:r>
      <w:r w:rsidR="00F52446">
        <w:rPr>
          <w:rFonts w:ascii="Verdana" w:hAnsi="Verdana"/>
          <w:sz w:val="22"/>
          <w:szCs w:val="22"/>
        </w:rPr>
        <w:t>C</w:t>
      </w:r>
      <w:r w:rsidRPr="007315EA">
        <w:rPr>
          <w:rFonts w:ascii="Verdana" w:hAnsi="Verdana"/>
          <w:sz w:val="22"/>
          <w:szCs w:val="22"/>
        </w:rPr>
        <w:t xml:space="preserve">omunidad </w:t>
      </w:r>
      <w:r w:rsidR="00F52446">
        <w:rPr>
          <w:rFonts w:ascii="Verdana" w:hAnsi="Verdana"/>
          <w:sz w:val="22"/>
          <w:szCs w:val="22"/>
        </w:rPr>
        <w:t xml:space="preserve">Autónoma </w:t>
      </w:r>
      <w:r w:rsidRPr="007315EA">
        <w:rPr>
          <w:rFonts w:ascii="Verdana" w:hAnsi="Verdana"/>
          <w:sz w:val="22"/>
          <w:szCs w:val="22"/>
        </w:rPr>
        <w:t xml:space="preserve">con mayor número ha sido Cataluña, </w:t>
      </w:r>
      <w:r w:rsidR="00F52446">
        <w:rPr>
          <w:rFonts w:ascii="Verdana" w:hAnsi="Verdana"/>
          <w:sz w:val="22"/>
          <w:szCs w:val="22"/>
        </w:rPr>
        <w:t>donde se registraron</w:t>
      </w:r>
      <w:r w:rsidRPr="007315EA">
        <w:rPr>
          <w:rFonts w:ascii="Verdana" w:hAnsi="Verdana"/>
          <w:sz w:val="22"/>
          <w:szCs w:val="22"/>
        </w:rPr>
        <w:t xml:space="preserve"> 2.642. Le siguieron Madrid, </w:t>
      </w:r>
      <w:r w:rsidR="00F52446">
        <w:rPr>
          <w:rFonts w:ascii="Verdana" w:hAnsi="Verdana"/>
          <w:sz w:val="22"/>
          <w:szCs w:val="22"/>
        </w:rPr>
        <w:t xml:space="preserve">con </w:t>
      </w:r>
      <w:r w:rsidRPr="007315EA">
        <w:rPr>
          <w:rFonts w:ascii="Verdana" w:hAnsi="Verdana"/>
          <w:sz w:val="22"/>
          <w:szCs w:val="22"/>
        </w:rPr>
        <w:t>1.661; Andalucía,</w:t>
      </w:r>
      <w:r w:rsidR="00F52446">
        <w:rPr>
          <w:rFonts w:ascii="Verdana" w:hAnsi="Verdana"/>
          <w:sz w:val="22"/>
          <w:szCs w:val="22"/>
        </w:rPr>
        <w:t xml:space="preserve"> con</w:t>
      </w:r>
      <w:r w:rsidRPr="007315EA">
        <w:rPr>
          <w:rFonts w:ascii="Verdana" w:hAnsi="Verdana"/>
          <w:sz w:val="22"/>
          <w:szCs w:val="22"/>
        </w:rPr>
        <w:t xml:space="preserve"> 1.307; y la Comunidad Valenciana, con 1.243.</w:t>
      </w:r>
    </w:p>
    <w:p w:rsidR="00BC2852" w:rsidRPr="007315EA" w:rsidRDefault="00BC2852" w:rsidP="00BC2852">
      <w:pPr>
        <w:jc w:val="both"/>
        <w:rPr>
          <w:rFonts w:ascii="Verdana" w:hAnsi="Verdana"/>
          <w:sz w:val="22"/>
          <w:szCs w:val="22"/>
        </w:rPr>
      </w:pPr>
    </w:p>
    <w:p w:rsidR="00BC2852" w:rsidRPr="007315EA" w:rsidRDefault="00BC2852" w:rsidP="00BC2852">
      <w:pPr>
        <w:jc w:val="both"/>
        <w:rPr>
          <w:rFonts w:ascii="Verdana" w:hAnsi="Verdana"/>
          <w:sz w:val="22"/>
          <w:szCs w:val="22"/>
        </w:rPr>
      </w:pPr>
      <w:r w:rsidRPr="007315EA">
        <w:rPr>
          <w:noProof/>
        </w:rPr>
        <w:drawing>
          <wp:inline distT="0" distB="0" distL="0" distR="0" wp14:anchorId="4B50AB1C" wp14:editId="70C136FF">
            <wp:extent cx="5400040" cy="2699309"/>
            <wp:effectExtent l="0" t="0" r="10160" b="6350"/>
            <wp:docPr id="20" name="Gráfico 20">
              <a:extLst xmlns:a="http://schemas.openxmlformats.org/drawingml/2006/main">
                <a:ext uri="{FF2B5EF4-FFF2-40B4-BE49-F238E27FC236}">
                  <a16:creationId xmlns:a16="http://schemas.microsoft.com/office/drawing/2014/main" id="{9797BC96-E76C-49E1-A17E-76DA9B950F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C2852" w:rsidRPr="007315EA" w:rsidRDefault="00BC2852" w:rsidP="00BC2852">
      <w:pPr>
        <w:jc w:val="both"/>
        <w:rPr>
          <w:rFonts w:ascii="Verdana" w:hAnsi="Verdana"/>
          <w:sz w:val="22"/>
          <w:szCs w:val="22"/>
        </w:rPr>
      </w:pPr>
    </w:p>
    <w:p w:rsidR="00BC2852" w:rsidRPr="007315EA" w:rsidRDefault="00BC2852" w:rsidP="00BC2852">
      <w:pPr>
        <w:jc w:val="both"/>
        <w:rPr>
          <w:rFonts w:ascii="Verdana" w:hAnsi="Verdana"/>
          <w:sz w:val="22"/>
          <w:szCs w:val="22"/>
        </w:rPr>
      </w:pPr>
      <w:r w:rsidRPr="007315EA">
        <w:rPr>
          <w:rFonts w:ascii="Verdana" w:hAnsi="Verdana"/>
          <w:sz w:val="22"/>
          <w:szCs w:val="22"/>
        </w:rPr>
        <w:t>Cataluña también ha sido el territorio donde más concursos de empresas se registraron ante los Juzgados de lo Mercantil, con 2.976 –el 33,5 % del total nacional-, seguido por Madrid</w:t>
      </w:r>
      <w:r>
        <w:rPr>
          <w:rFonts w:ascii="Verdana" w:hAnsi="Verdana"/>
          <w:sz w:val="22"/>
          <w:szCs w:val="22"/>
        </w:rPr>
        <w:t xml:space="preserve">, </w:t>
      </w:r>
      <w:r w:rsidRPr="007315EA">
        <w:rPr>
          <w:rFonts w:ascii="Verdana" w:hAnsi="Verdana"/>
          <w:sz w:val="22"/>
          <w:szCs w:val="22"/>
        </w:rPr>
        <w:t xml:space="preserve">con 1.518 y por la Comunidad Valenciana, con 1.178. </w:t>
      </w:r>
      <w:r w:rsidRPr="007227B9">
        <w:rPr>
          <w:rFonts w:ascii="Verdana" w:hAnsi="Verdana"/>
          <w:sz w:val="22"/>
          <w:szCs w:val="22"/>
        </w:rPr>
        <w:t>Estos concursos han mostrado, a nivel nacional, un incremento interanual del 29,4 por ciento, y del 27,9 respecto a 2019.</w:t>
      </w:r>
    </w:p>
    <w:p w:rsidR="00BC2852" w:rsidRPr="007315EA" w:rsidRDefault="00BC2852" w:rsidP="00BC2852">
      <w:pPr>
        <w:jc w:val="both"/>
        <w:rPr>
          <w:rFonts w:ascii="Verdana" w:hAnsi="Verdana"/>
          <w:sz w:val="22"/>
          <w:szCs w:val="22"/>
        </w:rPr>
      </w:pPr>
    </w:p>
    <w:p w:rsidR="00BC2852" w:rsidRPr="007315EA" w:rsidRDefault="00BC2852" w:rsidP="00BC2852">
      <w:pPr>
        <w:jc w:val="both"/>
        <w:rPr>
          <w:rFonts w:ascii="Verdana" w:hAnsi="Verdana"/>
          <w:sz w:val="22"/>
          <w:szCs w:val="22"/>
        </w:rPr>
      </w:pPr>
      <w:r w:rsidRPr="007315EA">
        <w:rPr>
          <w:noProof/>
        </w:rPr>
        <w:drawing>
          <wp:inline distT="0" distB="0" distL="0" distR="0" wp14:anchorId="3F67CF12" wp14:editId="0C7FB7E4">
            <wp:extent cx="5400040" cy="2991917"/>
            <wp:effectExtent l="0" t="0" r="10160" b="18415"/>
            <wp:docPr id="21" name="Gráfico 21">
              <a:extLst xmlns:a="http://schemas.openxmlformats.org/drawingml/2006/main">
                <a:ext uri="{FF2B5EF4-FFF2-40B4-BE49-F238E27FC236}">
                  <a16:creationId xmlns:a16="http://schemas.microsoft.com/office/drawing/2014/main" id="{2E593EEB-99AD-4D57-A886-2D4DFDE071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D0ABF" w:rsidRDefault="002D0ABF" w:rsidP="00BC2852">
      <w:pPr>
        <w:jc w:val="center"/>
        <w:rPr>
          <w:rFonts w:ascii="Verdana" w:hAnsi="Verdana"/>
          <w:sz w:val="22"/>
          <w:szCs w:val="22"/>
        </w:rPr>
      </w:pPr>
    </w:p>
    <w:p w:rsidR="00BC2852" w:rsidRPr="007315EA" w:rsidRDefault="00BC2852" w:rsidP="00BC2852">
      <w:pPr>
        <w:jc w:val="center"/>
        <w:rPr>
          <w:rFonts w:ascii="Verdana" w:hAnsi="Verdana"/>
          <w:sz w:val="22"/>
          <w:szCs w:val="22"/>
        </w:rPr>
      </w:pPr>
      <w:r w:rsidRPr="007315EA">
        <w:rPr>
          <w:noProof/>
        </w:rPr>
        <w:drawing>
          <wp:inline distT="0" distB="0" distL="0" distR="0" wp14:anchorId="1ABE4AD8" wp14:editId="114A0FF9">
            <wp:extent cx="4572000" cy="2743200"/>
            <wp:effectExtent l="0" t="0" r="0" b="0"/>
            <wp:docPr id="16" name="Gráfico 16">
              <a:extLst xmlns:a="http://schemas.openxmlformats.org/drawingml/2006/main">
                <a:ext uri="{FF2B5EF4-FFF2-40B4-BE49-F238E27FC236}">
                  <a16:creationId xmlns:a16="http://schemas.microsoft.com/office/drawing/2014/main" id="{1E70FA4B-00EE-4075-B151-9E6E5DE801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C2852" w:rsidRPr="007315EA" w:rsidRDefault="00BC2852" w:rsidP="00BC2852">
      <w:pPr>
        <w:jc w:val="both"/>
        <w:rPr>
          <w:rFonts w:ascii="Verdana" w:hAnsi="Verdana"/>
          <w:sz w:val="22"/>
          <w:szCs w:val="22"/>
        </w:rPr>
      </w:pPr>
    </w:p>
    <w:p w:rsidR="00BC2852" w:rsidRPr="007315EA" w:rsidRDefault="00BC2852" w:rsidP="00BC2852">
      <w:pPr>
        <w:jc w:val="both"/>
        <w:rPr>
          <w:rFonts w:ascii="Verdana" w:hAnsi="Verdana"/>
          <w:b/>
          <w:sz w:val="22"/>
          <w:szCs w:val="22"/>
        </w:rPr>
      </w:pPr>
    </w:p>
    <w:p w:rsidR="00692252" w:rsidRPr="007315EA" w:rsidRDefault="00692252" w:rsidP="00692252">
      <w:pPr>
        <w:jc w:val="both"/>
        <w:rPr>
          <w:rFonts w:ascii="Verdana" w:hAnsi="Verdana"/>
          <w:b/>
          <w:sz w:val="22"/>
          <w:szCs w:val="22"/>
        </w:rPr>
      </w:pPr>
      <w:r w:rsidRPr="007315EA">
        <w:rPr>
          <w:rFonts w:ascii="Verdana" w:hAnsi="Verdana"/>
          <w:b/>
          <w:sz w:val="22"/>
          <w:szCs w:val="22"/>
        </w:rPr>
        <w:t xml:space="preserve">Fuerte incremento de las ejecuciones hipotecarias </w:t>
      </w:r>
    </w:p>
    <w:p w:rsidR="00692252" w:rsidRPr="007315EA" w:rsidRDefault="00692252" w:rsidP="00D8795A">
      <w:pPr>
        <w:rPr>
          <w:rFonts w:ascii="Verdana" w:hAnsi="Verdana"/>
          <w:b/>
        </w:rPr>
      </w:pPr>
    </w:p>
    <w:p w:rsidR="002D0ABF" w:rsidRDefault="00692252" w:rsidP="00692252">
      <w:pPr>
        <w:jc w:val="both"/>
        <w:rPr>
          <w:rFonts w:ascii="Verdana" w:hAnsi="Verdana"/>
          <w:sz w:val="22"/>
          <w:szCs w:val="22"/>
        </w:rPr>
      </w:pPr>
      <w:r w:rsidRPr="007315EA">
        <w:rPr>
          <w:rFonts w:ascii="Verdana" w:hAnsi="Verdana"/>
          <w:sz w:val="22"/>
          <w:szCs w:val="22"/>
        </w:rPr>
        <w:t xml:space="preserve">El número de ejecuciones hipotecarias iniciadas en 2021 </w:t>
      </w:r>
      <w:r w:rsidR="00C52F08">
        <w:rPr>
          <w:rFonts w:ascii="Verdana" w:hAnsi="Verdana"/>
          <w:sz w:val="22"/>
          <w:szCs w:val="22"/>
        </w:rPr>
        <w:t>experimentó un importante aumento</w:t>
      </w:r>
      <w:r w:rsidR="00326069">
        <w:rPr>
          <w:rFonts w:ascii="Verdana" w:hAnsi="Verdana"/>
          <w:sz w:val="22"/>
          <w:szCs w:val="22"/>
        </w:rPr>
        <w:t xml:space="preserve"> (</w:t>
      </w:r>
      <w:r w:rsidR="00C52F08">
        <w:rPr>
          <w:rFonts w:ascii="Verdana" w:hAnsi="Verdana"/>
          <w:sz w:val="22"/>
          <w:szCs w:val="22"/>
        </w:rPr>
        <w:t>36,2 %</w:t>
      </w:r>
      <w:r w:rsidR="00326069">
        <w:rPr>
          <w:rFonts w:ascii="Verdana" w:hAnsi="Verdana"/>
          <w:sz w:val="22"/>
          <w:szCs w:val="22"/>
        </w:rPr>
        <w:t>)</w:t>
      </w:r>
      <w:r w:rsidR="00C52F08">
        <w:rPr>
          <w:rFonts w:ascii="Verdana" w:hAnsi="Verdana"/>
          <w:sz w:val="22"/>
          <w:szCs w:val="22"/>
        </w:rPr>
        <w:t xml:space="preserve"> respecto a 2020. Comparadas con las de 2019, las </w:t>
      </w:r>
      <w:r w:rsidRPr="007315EA">
        <w:rPr>
          <w:rFonts w:ascii="Verdana" w:hAnsi="Verdana"/>
          <w:sz w:val="22"/>
          <w:szCs w:val="22"/>
        </w:rPr>
        <w:t>27.874</w:t>
      </w:r>
      <w:r w:rsidR="00C52F08">
        <w:rPr>
          <w:rFonts w:ascii="Verdana" w:hAnsi="Verdana"/>
          <w:sz w:val="22"/>
          <w:szCs w:val="22"/>
        </w:rPr>
        <w:t xml:space="preserve"> ejecuciones hipotecarias iniciadas en 2021 disminuyeron </w:t>
      </w:r>
      <w:r w:rsidRPr="007315EA">
        <w:rPr>
          <w:rFonts w:ascii="Verdana" w:hAnsi="Verdana"/>
          <w:sz w:val="22"/>
          <w:szCs w:val="22"/>
        </w:rPr>
        <w:t>un 28,8 por ciento</w:t>
      </w:r>
      <w:r w:rsidR="00F81459">
        <w:rPr>
          <w:rFonts w:ascii="Verdana" w:hAnsi="Verdana"/>
          <w:sz w:val="22"/>
          <w:szCs w:val="22"/>
        </w:rPr>
        <w:t>.</w:t>
      </w:r>
    </w:p>
    <w:p w:rsidR="002D0ABF" w:rsidRDefault="002D0ABF" w:rsidP="00692252">
      <w:pPr>
        <w:jc w:val="both"/>
        <w:rPr>
          <w:rFonts w:ascii="Verdana" w:hAnsi="Verdana"/>
          <w:sz w:val="22"/>
          <w:szCs w:val="22"/>
        </w:rPr>
      </w:pPr>
    </w:p>
    <w:p w:rsidR="00692252" w:rsidRPr="007315EA" w:rsidRDefault="00692252" w:rsidP="00692252">
      <w:pPr>
        <w:jc w:val="both"/>
        <w:rPr>
          <w:rFonts w:ascii="Verdana" w:hAnsi="Verdana"/>
          <w:sz w:val="22"/>
          <w:szCs w:val="22"/>
        </w:rPr>
      </w:pPr>
      <w:r w:rsidRPr="007315EA">
        <w:rPr>
          <w:rFonts w:ascii="Verdana" w:hAnsi="Verdana"/>
          <w:sz w:val="22"/>
          <w:szCs w:val="22"/>
        </w:rPr>
        <w:t xml:space="preserve">En términos absolutos, Cataluña fue el territorio donde se presentaron más ejecuciones hipotecarias </w:t>
      </w:r>
      <w:r w:rsidR="00854487">
        <w:rPr>
          <w:rFonts w:ascii="Verdana" w:hAnsi="Verdana"/>
          <w:sz w:val="22"/>
          <w:szCs w:val="22"/>
        </w:rPr>
        <w:t>durante</w:t>
      </w:r>
      <w:r w:rsidRPr="007315EA">
        <w:rPr>
          <w:rFonts w:ascii="Verdana" w:hAnsi="Verdana"/>
          <w:sz w:val="22"/>
          <w:szCs w:val="22"/>
        </w:rPr>
        <w:t xml:space="preserve"> </w:t>
      </w:r>
      <w:r w:rsidR="00326069">
        <w:rPr>
          <w:rFonts w:ascii="Verdana" w:hAnsi="Verdana"/>
          <w:sz w:val="22"/>
          <w:szCs w:val="22"/>
        </w:rPr>
        <w:t>el pasado año</w:t>
      </w:r>
      <w:r w:rsidRPr="007315EA">
        <w:rPr>
          <w:rFonts w:ascii="Verdana" w:hAnsi="Verdana"/>
          <w:sz w:val="22"/>
          <w:szCs w:val="22"/>
        </w:rPr>
        <w:t xml:space="preserve"> (5.848), seguido por Andalucía (5.703), la Comunidad Val</w:t>
      </w:r>
      <w:r w:rsidR="00854487">
        <w:rPr>
          <w:rFonts w:ascii="Verdana" w:hAnsi="Verdana"/>
          <w:sz w:val="22"/>
          <w:szCs w:val="22"/>
        </w:rPr>
        <w:t>enciana (4.794); Madrid (2.523)</w:t>
      </w:r>
      <w:r w:rsidRPr="007315EA">
        <w:rPr>
          <w:rFonts w:ascii="Verdana" w:hAnsi="Verdana"/>
          <w:sz w:val="22"/>
          <w:szCs w:val="22"/>
        </w:rPr>
        <w:t xml:space="preserve"> y Murcia (1.675).</w:t>
      </w:r>
    </w:p>
    <w:p w:rsidR="002D0ABF" w:rsidRPr="007315EA" w:rsidRDefault="002D0ABF" w:rsidP="00692252">
      <w:pPr>
        <w:jc w:val="both"/>
        <w:rPr>
          <w:rFonts w:ascii="Verdana" w:hAnsi="Verdana"/>
          <w:sz w:val="22"/>
          <w:szCs w:val="22"/>
        </w:rPr>
      </w:pPr>
    </w:p>
    <w:p w:rsidR="00692252" w:rsidRPr="007315EA" w:rsidRDefault="00692252" w:rsidP="00692252">
      <w:pPr>
        <w:jc w:val="both"/>
        <w:rPr>
          <w:rFonts w:ascii="Verdana" w:hAnsi="Verdana"/>
          <w:sz w:val="22"/>
          <w:szCs w:val="22"/>
        </w:rPr>
      </w:pPr>
      <w:r w:rsidRPr="007315EA">
        <w:rPr>
          <w:noProof/>
        </w:rPr>
        <w:drawing>
          <wp:inline distT="0" distB="0" distL="0" distR="0" wp14:anchorId="13A5E1BB" wp14:editId="5DD1773B">
            <wp:extent cx="5400040" cy="2816352"/>
            <wp:effectExtent l="0" t="0" r="10160" b="3175"/>
            <wp:docPr id="13" name="Gráfico 13">
              <a:extLst xmlns:a="http://schemas.openxmlformats.org/drawingml/2006/main">
                <a:ext uri="{FF2B5EF4-FFF2-40B4-BE49-F238E27FC236}">
                  <a16:creationId xmlns:a16="http://schemas.microsoft.com/office/drawing/2014/main" id="{690D0B5C-5C39-44D1-BCA6-12E40AA2D2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92252" w:rsidRPr="007315EA" w:rsidRDefault="00854487" w:rsidP="00692252">
      <w:pPr>
        <w:jc w:val="both"/>
        <w:rPr>
          <w:rFonts w:ascii="Verdana" w:hAnsi="Verdana"/>
          <w:b/>
          <w:sz w:val="22"/>
          <w:szCs w:val="22"/>
        </w:rPr>
      </w:pPr>
      <w:r>
        <w:rPr>
          <w:rFonts w:ascii="Verdana" w:hAnsi="Verdana"/>
          <w:b/>
          <w:sz w:val="22"/>
          <w:szCs w:val="22"/>
        </w:rPr>
        <w:t xml:space="preserve">Los lanzamientos aumentan un </w:t>
      </w:r>
      <w:r w:rsidR="00692252" w:rsidRPr="007315EA">
        <w:rPr>
          <w:rFonts w:ascii="Verdana" w:hAnsi="Verdana"/>
          <w:b/>
          <w:sz w:val="22"/>
          <w:szCs w:val="22"/>
        </w:rPr>
        <w:t>40,6</w:t>
      </w:r>
      <w:r>
        <w:rPr>
          <w:rFonts w:ascii="Verdana" w:hAnsi="Verdana"/>
          <w:b/>
          <w:sz w:val="22"/>
          <w:szCs w:val="22"/>
        </w:rPr>
        <w:t xml:space="preserve"> % respecto a</w:t>
      </w:r>
      <w:r w:rsidR="00692252" w:rsidRPr="007315EA">
        <w:rPr>
          <w:rFonts w:ascii="Verdana" w:hAnsi="Verdana"/>
          <w:b/>
          <w:sz w:val="22"/>
          <w:szCs w:val="22"/>
        </w:rPr>
        <w:t xml:space="preserve"> 2020</w:t>
      </w:r>
    </w:p>
    <w:p w:rsidR="00692252" w:rsidRPr="007315EA" w:rsidRDefault="00692252" w:rsidP="00692252">
      <w:pPr>
        <w:jc w:val="both"/>
        <w:rPr>
          <w:rFonts w:ascii="Verdana" w:hAnsi="Verdana"/>
          <w:sz w:val="22"/>
          <w:szCs w:val="22"/>
        </w:rPr>
      </w:pPr>
    </w:p>
    <w:p w:rsidR="00692252" w:rsidRPr="007315EA" w:rsidRDefault="00692252" w:rsidP="00692252">
      <w:pPr>
        <w:jc w:val="both"/>
        <w:rPr>
          <w:rFonts w:ascii="Verdana" w:hAnsi="Verdana"/>
          <w:sz w:val="22"/>
          <w:szCs w:val="22"/>
        </w:rPr>
      </w:pPr>
      <w:r w:rsidRPr="007315EA">
        <w:rPr>
          <w:rFonts w:ascii="Verdana" w:hAnsi="Verdana"/>
          <w:sz w:val="22"/>
          <w:szCs w:val="22"/>
        </w:rPr>
        <w:t>El número de lanzamientos practicados el año 2021 fue de 41.359, un 40,6</w:t>
      </w:r>
      <w:r w:rsidR="00854487">
        <w:rPr>
          <w:rFonts w:ascii="Verdana" w:hAnsi="Verdana"/>
          <w:sz w:val="22"/>
          <w:szCs w:val="22"/>
        </w:rPr>
        <w:t xml:space="preserve"> por ciento</w:t>
      </w:r>
      <w:r w:rsidRPr="007315EA">
        <w:rPr>
          <w:rFonts w:ascii="Verdana" w:hAnsi="Verdana"/>
          <w:sz w:val="22"/>
          <w:szCs w:val="22"/>
        </w:rPr>
        <w:t xml:space="preserve"> más que el año anterior, y un 23,4 por ciento menos que en 2019. Los lanzamientos afectan a distintos tipos de inmuebles, no solo viviendas y, en el caso de éstas, no solo a vivienda habitual.</w:t>
      </w:r>
    </w:p>
    <w:p w:rsidR="00692252" w:rsidRPr="007315EA" w:rsidRDefault="00692252" w:rsidP="00692252">
      <w:pPr>
        <w:jc w:val="both"/>
        <w:rPr>
          <w:rFonts w:ascii="Verdana" w:hAnsi="Verdana"/>
          <w:sz w:val="22"/>
          <w:szCs w:val="22"/>
        </w:rPr>
      </w:pPr>
    </w:p>
    <w:p w:rsidR="00692252" w:rsidRPr="007315EA" w:rsidRDefault="00692252" w:rsidP="00692252">
      <w:pPr>
        <w:jc w:val="both"/>
        <w:rPr>
          <w:rFonts w:ascii="Verdana" w:hAnsi="Verdana"/>
          <w:sz w:val="22"/>
          <w:szCs w:val="22"/>
        </w:rPr>
      </w:pPr>
      <w:r w:rsidRPr="007315EA">
        <w:rPr>
          <w:rFonts w:ascii="Verdana" w:hAnsi="Verdana"/>
          <w:sz w:val="22"/>
          <w:szCs w:val="22"/>
        </w:rPr>
        <w:t xml:space="preserve">Un 70,1 por ciento de los lanzamientos, 28.993, ha sido consecuencia de procedimientos derivados de la Ley de Arrendamientos Urbanos (LAU), mientras que otros 10.103 </w:t>
      </w:r>
      <w:r w:rsidR="00C246EE">
        <w:rPr>
          <w:rFonts w:ascii="Verdana" w:hAnsi="Verdana"/>
          <w:sz w:val="22"/>
          <w:szCs w:val="22"/>
        </w:rPr>
        <w:t>(</w:t>
      </w:r>
      <w:r w:rsidRPr="007315EA">
        <w:rPr>
          <w:rFonts w:ascii="Verdana" w:hAnsi="Verdana"/>
          <w:sz w:val="22"/>
          <w:szCs w:val="22"/>
        </w:rPr>
        <w:t>el 24,4</w:t>
      </w:r>
      <w:r w:rsidR="00854487">
        <w:rPr>
          <w:rFonts w:ascii="Verdana" w:hAnsi="Verdana"/>
          <w:sz w:val="22"/>
          <w:szCs w:val="22"/>
        </w:rPr>
        <w:t xml:space="preserve"> </w:t>
      </w:r>
      <w:r w:rsidRPr="007315EA">
        <w:rPr>
          <w:rFonts w:ascii="Verdana" w:hAnsi="Verdana"/>
          <w:sz w:val="22"/>
          <w:szCs w:val="22"/>
        </w:rPr>
        <w:t>%</w:t>
      </w:r>
      <w:r w:rsidR="00C246EE">
        <w:rPr>
          <w:rFonts w:ascii="Verdana" w:hAnsi="Verdana"/>
          <w:sz w:val="22"/>
          <w:szCs w:val="22"/>
        </w:rPr>
        <w:t>)</w:t>
      </w:r>
      <w:r w:rsidRPr="007315EA">
        <w:rPr>
          <w:rFonts w:ascii="Verdana" w:hAnsi="Verdana"/>
          <w:sz w:val="22"/>
          <w:szCs w:val="22"/>
        </w:rPr>
        <w:t xml:space="preserve"> se derivaron de ejecuciones hipotecarias</w:t>
      </w:r>
      <w:r w:rsidR="00854487">
        <w:rPr>
          <w:rFonts w:ascii="Verdana" w:hAnsi="Verdana"/>
          <w:sz w:val="22"/>
          <w:szCs w:val="22"/>
        </w:rPr>
        <w:t>. L</w:t>
      </w:r>
      <w:r w:rsidRPr="007315EA">
        <w:rPr>
          <w:rFonts w:ascii="Verdana" w:hAnsi="Verdana"/>
          <w:sz w:val="22"/>
          <w:szCs w:val="22"/>
        </w:rPr>
        <w:t>os 2.263 restantes obedecieron a otras causas.</w:t>
      </w:r>
    </w:p>
    <w:p w:rsidR="00692252" w:rsidRPr="007315EA" w:rsidRDefault="00692252" w:rsidP="00692252">
      <w:pPr>
        <w:jc w:val="both"/>
        <w:rPr>
          <w:rFonts w:ascii="Verdana" w:hAnsi="Verdana"/>
          <w:sz w:val="22"/>
          <w:szCs w:val="22"/>
        </w:rPr>
      </w:pPr>
    </w:p>
    <w:p w:rsidR="00692252" w:rsidRPr="007315EA" w:rsidRDefault="00692252" w:rsidP="00692252">
      <w:pPr>
        <w:jc w:val="both"/>
        <w:rPr>
          <w:rFonts w:ascii="Verdana" w:hAnsi="Verdana"/>
          <w:sz w:val="22"/>
          <w:szCs w:val="22"/>
        </w:rPr>
      </w:pPr>
      <w:r w:rsidRPr="007315EA">
        <w:rPr>
          <w:rFonts w:ascii="Verdana" w:hAnsi="Verdana"/>
          <w:sz w:val="22"/>
          <w:szCs w:val="22"/>
        </w:rPr>
        <w:t>Los lanzamientos por impago del alquiler experimentaron un incremento interanual del 37,1 por ciento respecto a 2020 y una reducción del 20,5</w:t>
      </w:r>
      <w:r w:rsidR="00854487">
        <w:rPr>
          <w:rFonts w:ascii="Verdana" w:hAnsi="Verdana"/>
          <w:sz w:val="22"/>
          <w:szCs w:val="22"/>
        </w:rPr>
        <w:t xml:space="preserve"> por ciento</w:t>
      </w:r>
      <w:r w:rsidRPr="007315EA">
        <w:rPr>
          <w:rFonts w:ascii="Verdana" w:hAnsi="Verdana"/>
          <w:sz w:val="22"/>
          <w:szCs w:val="22"/>
        </w:rPr>
        <w:t xml:space="preserve"> respecto a 2019, mientras que los derivados de ejecuciones hipotecarias aumentaron un 46,1 por ciento respecto a 2020 y disminuyeron un 28,8 </w:t>
      </w:r>
      <w:r w:rsidR="00854487">
        <w:rPr>
          <w:rFonts w:ascii="Verdana" w:hAnsi="Verdana"/>
          <w:sz w:val="22"/>
          <w:szCs w:val="22"/>
        </w:rPr>
        <w:t xml:space="preserve">por ciento </w:t>
      </w:r>
      <w:r w:rsidRPr="007315EA">
        <w:rPr>
          <w:rFonts w:ascii="Verdana" w:hAnsi="Verdana"/>
          <w:sz w:val="22"/>
          <w:szCs w:val="22"/>
        </w:rPr>
        <w:t>respecto a 2019.</w:t>
      </w:r>
    </w:p>
    <w:p w:rsidR="00692252" w:rsidRPr="007315EA" w:rsidRDefault="00692252" w:rsidP="00692252">
      <w:pPr>
        <w:jc w:val="both"/>
        <w:rPr>
          <w:rFonts w:ascii="Verdana" w:hAnsi="Verdana"/>
          <w:sz w:val="22"/>
          <w:szCs w:val="22"/>
        </w:rPr>
      </w:pPr>
    </w:p>
    <w:p w:rsidR="00692252" w:rsidRPr="007315EA" w:rsidRDefault="00692252" w:rsidP="00692252">
      <w:pPr>
        <w:jc w:val="both"/>
        <w:rPr>
          <w:rFonts w:ascii="Verdana" w:hAnsi="Verdana"/>
          <w:sz w:val="22"/>
          <w:szCs w:val="22"/>
        </w:rPr>
      </w:pPr>
      <w:r w:rsidRPr="007315EA">
        <w:rPr>
          <w:rFonts w:ascii="Verdana" w:hAnsi="Verdana"/>
          <w:sz w:val="22"/>
          <w:szCs w:val="22"/>
        </w:rPr>
        <w:t>Cataluña –con 9.398, el 22,7 % del total nacional- fue la Comunidad Autónoma en la que se practicaron más lanzamientos</w:t>
      </w:r>
      <w:r w:rsidR="00496D54">
        <w:rPr>
          <w:rFonts w:ascii="Verdana" w:hAnsi="Verdana"/>
          <w:sz w:val="22"/>
          <w:szCs w:val="22"/>
        </w:rPr>
        <w:t>. Le siguieron</w:t>
      </w:r>
      <w:r w:rsidRPr="007315EA">
        <w:rPr>
          <w:rFonts w:ascii="Verdana" w:hAnsi="Verdana"/>
          <w:sz w:val="22"/>
          <w:szCs w:val="22"/>
        </w:rPr>
        <w:t xml:space="preserve"> Andalucía</w:t>
      </w:r>
      <w:r w:rsidR="00496D54">
        <w:rPr>
          <w:rFonts w:ascii="Verdana" w:hAnsi="Verdana"/>
          <w:sz w:val="22"/>
          <w:szCs w:val="22"/>
        </w:rPr>
        <w:t xml:space="preserve">, </w:t>
      </w:r>
      <w:r w:rsidRPr="007315EA">
        <w:rPr>
          <w:rFonts w:ascii="Verdana" w:hAnsi="Verdana"/>
          <w:sz w:val="22"/>
          <w:szCs w:val="22"/>
        </w:rPr>
        <w:t>con 6.615;</w:t>
      </w:r>
      <w:r w:rsidR="00496D54">
        <w:rPr>
          <w:rFonts w:ascii="Verdana" w:hAnsi="Verdana"/>
          <w:sz w:val="22"/>
          <w:szCs w:val="22"/>
        </w:rPr>
        <w:t xml:space="preserve"> </w:t>
      </w:r>
      <w:r w:rsidRPr="007315EA">
        <w:rPr>
          <w:rFonts w:ascii="Verdana" w:hAnsi="Verdana"/>
          <w:sz w:val="22"/>
          <w:szCs w:val="22"/>
        </w:rPr>
        <w:t>la Comunidad Valenciana, con 6.182; y Madrid, 4.039.</w:t>
      </w:r>
    </w:p>
    <w:p w:rsidR="00692252" w:rsidRPr="007315EA" w:rsidRDefault="00692252" w:rsidP="00692252">
      <w:pPr>
        <w:jc w:val="both"/>
        <w:rPr>
          <w:rFonts w:ascii="Verdana" w:hAnsi="Verdana"/>
          <w:sz w:val="22"/>
          <w:szCs w:val="22"/>
        </w:rPr>
      </w:pPr>
    </w:p>
    <w:p w:rsidR="00692252" w:rsidRPr="007315EA" w:rsidRDefault="00692252" w:rsidP="00692252">
      <w:pPr>
        <w:jc w:val="both"/>
        <w:rPr>
          <w:rFonts w:ascii="Verdana" w:hAnsi="Verdana"/>
          <w:sz w:val="22"/>
          <w:szCs w:val="22"/>
        </w:rPr>
      </w:pPr>
      <w:r w:rsidRPr="007315EA">
        <w:rPr>
          <w:rFonts w:ascii="Verdana" w:hAnsi="Verdana"/>
          <w:sz w:val="22"/>
          <w:szCs w:val="22"/>
        </w:rPr>
        <w:t xml:space="preserve">Atendiendo solo a los lanzamientos consecuencia de procedimientos derivados de la LAU, la </w:t>
      </w:r>
      <w:r w:rsidR="00496D54">
        <w:rPr>
          <w:rFonts w:ascii="Verdana" w:hAnsi="Verdana"/>
          <w:sz w:val="22"/>
          <w:szCs w:val="22"/>
        </w:rPr>
        <w:t>lista</w:t>
      </w:r>
      <w:r w:rsidRPr="007315EA">
        <w:rPr>
          <w:rFonts w:ascii="Verdana" w:hAnsi="Verdana"/>
          <w:sz w:val="22"/>
          <w:szCs w:val="22"/>
        </w:rPr>
        <w:t xml:space="preserve"> la encabeza también Cataluña, con 6.729; seguida por Andalucía, con 4.315; la Comuni</w:t>
      </w:r>
      <w:r w:rsidR="00496D54">
        <w:rPr>
          <w:rFonts w:ascii="Verdana" w:hAnsi="Verdana"/>
          <w:sz w:val="22"/>
          <w:szCs w:val="22"/>
        </w:rPr>
        <w:t>dad</w:t>
      </w:r>
      <w:r w:rsidRPr="007315EA">
        <w:rPr>
          <w:rFonts w:ascii="Verdana" w:hAnsi="Verdana"/>
          <w:sz w:val="22"/>
          <w:szCs w:val="22"/>
        </w:rPr>
        <w:t xml:space="preserve"> Valenciana, con 3.807; y la Comunidad de Madrid, con 3</w:t>
      </w:r>
      <w:r w:rsidR="00496D54">
        <w:rPr>
          <w:rFonts w:ascii="Verdana" w:hAnsi="Verdana"/>
          <w:sz w:val="22"/>
          <w:szCs w:val="22"/>
        </w:rPr>
        <w:t>.</w:t>
      </w:r>
      <w:r w:rsidRPr="007315EA">
        <w:rPr>
          <w:rFonts w:ascii="Verdana" w:hAnsi="Verdana"/>
          <w:sz w:val="22"/>
          <w:szCs w:val="22"/>
        </w:rPr>
        <w:t>327. Los primeros puestos en cuanto a los lanzamientos consecuencia de ejecuciones hipotecarias los ocupan Comunidad Valenciana (2.192); Andalucía (1.886); Cataluña (1.766); y Murcia (929).</w:t>
      </w:r>
    </w:p>
    <w:p w:rsidR="00692252" w:rsidRPr="007315EA" w:rsidRDefault="00692252" w:rsidP="00692252">
      <w:pPr>
        <w:jc w:val="both"/>
        <w:rPr>
          <w:rFonts w:ascii="Verdana" w:hAnsi="Verdana"/>
          <w:sz w:val="22"/>
          <w:szCs w:val="22"/>
        </w:rPr>
      </w:pPr>
    </w:p>
    <w:p w:rsidR="00692252" w:rsidRPr="007315EA" w:rsidRDefault="00692252" w:rsidP="00692252">
      <w:pPr>
        <w:jc w:val="both"/>
        <w:rPr>
          <w:rFonts w:ascii="Verdana" w:hAnsi="Verdana"/>
          <w:sz w:val="22"/>
          <w:szCs w:val="22"/>
        </w:rPr>
      </w:pPr>
      <w:r w:rsidRPr="007315EA">
        <w:rPr>
          <w:noProof/>
        </w:rPr>
        <w:drawing>
          <wp:inline distT="0" distB="0" distL="0" distR="0" wp14:anchorId="47D80A65" wp14:editId="4613971D">
            <wp:extent cx="5400040" cy="2745740"/>
            <wp:effectExtent l="0" t="0" r="10160" b="16510"/>
            <wp:docPr id="14" name="Gráfico 14">
              <a:extLst xmlns:a="http://schemas.openxmlformats.org/drawingml/2006/main">
                <a:ext uri="{FF2B5EF4-FFF2-40B4-BE49-F238E27FC236}">
                  <a16:creationId xmlns:a16="http://schemas.microsoft.com/office/drawing/2014/main" id="{195589EC-906D-45C0-A21A-D56D39EF4E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92252" w:rsidRPr="007315EA" w:rsidRDefault="00692252" w:rsidP="00692252">
      <w:pPr>
        <w:jc w:val="both"/>
        <w:rPr>
          <w:rFonts w:ascii="Verdana" w:hAnsi="Verdana"/>
          <w:sz w:val="22"/>
          <w:szCs w:val="22"/>
        </w:rPr>
      </w:pPr>
    </w:p>
    <w:p w:rsidR="00692252" w:rsidRPr="007315EA" w:rsidRDefault="00692252" w:rsidP="00692252">
      <w:pPr>
        <w:jc w:val="both"/>
        <w:rPr>
          <w:rFonts w:ascii="Verdana" w:hAnsi="Verdana"/>
          <w:sz w:val="22"/>
          <w:szCs w:val="22"/>
        </w:rPr>
      </w:pPr>
      <w:r w:rsidRPr="007315EA">
        <w:rPr>
          <w:noProof/>
        </w:rPr>
        <w:drawing>
          <wp:inline distT="0" distB="0" distL="0" distR="0" wp14:anchorId="789905E1" wp14:editId="21837A7B">
            <wp:extent cx="5400040" cy="2900045"/>
            <wp:effectExtent l="0" t="0" r="10160" b="14605"/>
            <wp:docPr id="15" name="Gráfico 15">
              <a:extLst xmlns:a="http://schemas.openxmlformats.org/drawingml/2006/main">
                <a:ext uri="{FF2B5EF4-FFF2-40B4-BE49-F238E27FC236}">
                  <a16:creationId xmlns:a16="http://schemas.microsoft.com/office/drawing/2014/main" id="{15927C2A-B3F7-489A-AA8D-B38E071940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92252" w:rsidRPr="007315EA" w:rsidRDefault="00692252" w:rsidP="00692252">
      <w:pPr>
        <w:jc w:val="both"/>
        <w:rPr>
          <w:rFonts w:ascii="Verdana" w:hAnsi="Verdana"/>
          <w:b/>
          <w:sz w:val="22"/>
          <w:szCs w:val="22"/>
        </w:rPr>
      </w:pPr>
    </w:p>
    <w:p w:rsidR="00692252" w:rsidRPr="007315EA" w:rsidRDefault="00692252" w:rsidP="00692252">
      <w:pPr>
        <w:jc w:val="both"/>
        <w:rPr>
          <w:rFonts w:ascii="Verdana" w:hAnsi="Verdana"/>
          <w:b/>
          <w:sz w:val="22"/>
          <w:szCs w:val="22"/>
        </w:rPr>
      </w:pPr>
    </w:p>
    <w:p w:rsidR="00692252" w:rsidRPr="007315EA" w:rsidRDefault="00692252" w:rsidP="00692252">
      <w:pPr>
        <w:jc w:val="both"/>
        <w:rPr>
          <w:rFonts w:ascii="Verdana" w:hAnsi="Verdana"/>
          <w:b/>
          <w:sz w:val="22"/>
          <w:szCs w:val="22"/>
        </w:rPr>
      </w:pPr>
      <w:r w:rsidRPr="007315EA">
        <w:rPr>
          <w:rFonts w:ascii="Verdana" w:hAnsi="Verdana"/>
          <w:b/>
          <w:sz w:val="22"/>
          <w:szCs w:val="22"/>
        </w:rPr>
        <w:t>Las demandas por despido disminuyen un 9,3 por ciento</w:t>
      </w:r>
    </w:p>
    <w:p w:rsidR="00692252" w:rsidRPr="007315EA" w:rsidRDefault="00692252" w:rsidP="00692252">
      <w:pPr>
        <w:jc w:val="both"/>
        <w:rPr>
          <w:rFonts w:ascii="Verdana" w:hAnsi="Verdana"/>
          <w:sz w:val="22"/>
          <w:szCs w:val="22"/>
        </w:rPr>
      </w:pPr>
    </w:p>
    <w:p w:rsidR="00692252" w:rsidRPr="007315EA" w:rsidRDefault="00692252" w:rsidP="00692252">
      <w:pPr>
        <w:jc w:val="both"/>
        <w:rPr>
          <w:rFonts w:ascii="Verdana" w:hAnsi="Verdana"/>
          <w:sz w:val="22"/>
          <w:szCs w:val="22"/>
        </w:rPr>
      </w:pPr>
      <w:r w:rsidRPr="007315EA">
        <w:rPr>
          <w:rFonts w:ascii="Verdana" w:hAnsi="Verdana"/>
          <w:sz w:val="22"/>
          <w:szCs w:val="22"/>
        </w:rPr>
        <w:t>Las 117.293 demandas por despido presentadas en los Juzgados de lo Social en 202</w:t>
      </w:r>
      <w:r w:rsidR="007869B4">
        <w:rPr>
          <w:rFonts w:ascii="Verdana" w:hAnsi="Verdana"/>
          <w:sz w:val="22"/>
          <w:szCs w:val="22"/>
        </w:rPr>
        <w:t>1</w:t>
      </w:r>
      <w:r w:rsidRPr="007315EA">
        <w:rPr>
          <w:rFonts w:ascii="Verdana" w:hAnsi="Verdana"/>
          <w:sz w:val="22"/>
          <w:szCs w:val="22"/>
        </w:rPr>
        <w:t xml:space="preserve"> supusieron una disminución del 9,3 por ciento respecto a las registradas el año anterior y del 2,3 por ciento respe</w:t>
      </w:r>
      <w:r w:rsidR="007869B4">
        <w:rPr>
          <w:rFonts w:ascii="Verdana" w:hAnsi="Verdana"/>
          <w:sz w:val="22"/>
          <w:szCs w:val="22"/>
        </w:rPr>
        <w:t>c</w:t>
      </w:r>
      <w:r w:rsidRPr="007315EA">
        <w:rPr>
          <w:rFonts w:ascii="Verdana" w:hAnsi="Verdana"/>
          <w:sz w:val="22"/>
          <w:szCs w:val="22"/>
        </w:rPr>
        <w:t>to a 2019.</w:t>
      </w:r>
      <w:r w:rsidR="00FA1A9B">
        <w:rPr>
          <w:rFonts w:ascii="Verdana" w:hAnsi="Verdana"/>
          <w:sz w:val="22"/>
          <w:szCs w:val="22"/>
        </w:rPr>
        <w:t xml:space="preserve"> </w:t>
      </w:r>
      <w:r w:rsidRPr="007315EA">
        <w:rPr>
          <w:rFonts w:ascii="Verdana" w:hAnsi="Verdana"/>
          <w:sz w:val="22"/>
          <w:szCs w:val="22"/>
        </w:rPr>
        <w:t>Por territorios, Madrid –con 24.416, el 20,8 % del total nacional- es la Comunidad Autónoma en la que se presentaron más demandas de este tipo, seguida por Cataluña</w:t>
      </w:r>
      <w:r w:rsidR="00FA1A9B">
        <w:rPr>
          <w:rFonts w:ascii="Verdana" w:hAnsi="Verdana"/>
          <w:sz w:val="22"/>
          <w:szCs w:val="22"/>
        </w:rPr>
        <w:t xml:space="preserve">, </w:t>
      </w:r>
      <w:r w:rsidRPr="007315EA">
        <w:rPr>
          <w:rFonts w:ascii="Verdana" w:hAnsi="Verdana"/>
          <w:sz w:val="22"/>
          <w:szCs w:val="22"/>
        </w:rPr>
        <w:t>con 21.796</w:t>
      </w:r>
      <w:r w:rsidR="00FA1A9B">
        <w:rPr>
          <w:rFonts w:ascii="Verdana" w:hAnsi="Verdana"/>
          <w:sz w:val="22"/>
          <w:szCs w:val="22"/>
        </w:rPr>
        <w:t>,</w:t>
      </w:r>
      <w:r w:rsidRPr="007315EA">
        <w:rPr>
          <w:rFonts w:ascii="Verdana" w:hAnsi="Verdana"/>
          <w:sz w:val="22"/>
          <w:szCs w:val="22"/>
        </w:rPr>
        <w:t xml:space="preserve"> y Andalucía, con 17.484.</w:t>
      </w:r>
    </w:p>
    <w:p w:rsidR="00692252" w:rsidRPr="007315EA" w:rsidRDefault="00692252" w:rsidP="00692252">
      <w:pPr>
        <w:jc w:val="both"/>
        <w:rPr>
          <w:rFonts w:ascii="Verdana" w:hAnsi="Verdana"/>
          <w:sz w:val="22"/>
          <w:szCs w:val="22"/>
        </w:rPr>
      </w:pPr>
    </w:p>
    <w:p w:rsidR="00692252" w:rsidRPr="007315EA" w:rsidRDefault="00692252" w:rsidP="00692252">
      <w:pPr>
        <w:jc w:val="both"/>
        <w:rPr>
          <w:rFonts w:ascii="Verdana" w:hAnsi="Verdana"/>
          <w:sz w:val="22"/>
          <w:szCs w:val="22"/>
        </w:rPr>
      </w:pPr>
      <w:r w:rsidRPr="007315EA">
        <w:rPr>
          <w:noProof/>
        </w:rPr>
        <w:drawing>
          <wp:inline distT="0" distB="0" distL="0" distR="0" wp14:anchorId="25213A88" wp14:editId="06CF2E3B">
            <wp:extent cx="5400040" cy="3094330"/>
            <wp:effectExtent l="0" t="0" r="10160" b="11430"/>
            <wp:docPr id="18" name="Gráfico 18">
              <a:extLst xmlns:a="http://schemas.openxmlformats.org/drawingml/2006/main">
                <a:ext uri="{FF2B5EF4-FFF2-40B4-BE49-F238E27FC236}">
                  <a16:creationId xmlns:a16="http://schemas.microsoft.com/office/drawing/2014/main" id="{B8AA7941-61C7-4A0C-A715-161B5F6B10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92252" w:rsidRPr="007315EA" w:rsidRDefault="00692252" w:rsidP="00692252">
      <w:pPr>
        <w:jc w:val="both"/>
        <w:rPr>
          <w:rFonts w:ascii="Verdana" w:hAnsi="Verdana"/>
          <w:sz w:val="22"/>
          <w:szCs w:val="22"/>
        </w:rPr>
      </w:pPr>
    </w:p>
    <w:p w:rsidR="00692252" w:rsidRPr="007315EA" w:rsidRDefault="00692252" w:rsidP="00692252">
      <w:pPr>
        <w:jc w:val="both"/>
        <w:rPr>
          <w:rFonts w:ascii="Verdana" w:hAnsi="Verdana"/>
          <w:sz w:val="22"/>
          <w:szCs w:val="22"/>
        </w:rPr>
      </w:pPr>
      <w:r w:rsidRPr="007315EA">
        <w:rPr>
          <w:rFonts w:ascii="Verdana" w:hAnsi="Verdana"/>
          <w:sz w:val="22"/>
          <w:szCs w:val="22"/>
        </w:rPr>
        <w:t xml:space="preserve">Además, </w:t>
      </w:r>
      <w:r w:rsidR="00007149">
        <w:rPr>
          <w:rFonts w:ascii="Verdana" w:hAnsi="Verdana"/>
          <w:sz w:val="22"/>
          <w:szCs w:val="22"/>
        </w:rPr>
        <w:t xml:space="preserve">durante 2021 </w:t>
      </w:r>
      <w:r w:rsidRPr="007315EA">
        <w:rPr>
          <w:rFonts w:ascii="Verdana" w:hAnsi="Verdana"/>
          <w:sz w:val="22"/>
          <w:szCs w:val="22"/>
        </w:rPr>
        <w:t>los Juzgados de lo Social registraron</w:t>
      </w:r>
      <w:r w:rsidR="00007149">
        <w:rPr>
          <w:rFonts w:ascii="Verdana" w:hAnsi="Verdana"/>
          <w:sz w:val="22"/>
          <w:szCs w:val="22"/>
        </w:rPr>
        <w:t xml:space="preserve"> </w:t>
      </w:r>
      <w:r w:rsidRPr="007315EA">
        <w:rPr>
          <w:rFonts w:ascii="Verdana" w:hAnsi="Verdana"/>
          <w:sz w:val="22"/>
          <w:szCs w:val="22"/>
        </w:rPr>
        <w:t>122.331 reclamaciones de cantidad, un 3,6 por ciento más que en 2020, y un 6,8 menos que en 2019. De ellas, 23.263 se presentaron en Madrid; 20.815</w:t>
      </w:r>
      <w:r w:rsidR="00204B47">
        <w:rPr>
          <w:rFonts w:ascii="Verdana" w:hAnsi="Verdana"/>
          <w:sz w:val="22"/>
          <w:szCs w:val="22"/>
        </w:rPr>
        <w:t>,</w:t>
      </w:r>
      <w:r w:rsidRPr="007315EA">
        <w:rPr>
          <w:rFonts w:ascii="Verdana" w:hAnsi="Verdana"/>
          <w:sz w:val="22"/>
          <w:szCs w:val="22"/>
        </w:rPr>
        <w:t xml:space="preserve"> en Andalucía y 14.403</w:t>
      </w:r>
      <w:r w:rsidR="005A65DF">
        <w:rPr>
          <w:rFonts w:ascii="Verdana" w:hAnsi="Verdana"/>
          <w:sz w:val="22"/>
          <w:szCs w:val="22"/>
        </w:rPr>
        <w:t>,</w:t>
      </w:r>
      <w:r w:rsidRPr="007315EA">
        <w:rPr>
          <w:rFonts w:ascii="Verdana" w:hAnsi="Verdana"/>
          <w:sz w:val="22"/>
          <w:szCs w:val="22"/>
        </w:rPr>
        <w:t xml:space="preserve"> en Cataluña.</w:t>
      </w:r>
    </w:p>
    <w:p w:rsidR="00692252" w:rsidRPr="007315EA" w:rsidRDefault="00692252" w:rsidP="00692252">
      <w:pPr>
        <w:jc w:val="both"/>
        <w:rPr>
          <w:rFonts w:ascii="Verdana" w:hAnsi="Verdana"/>
          <w:sz w:val="22"/>
          <w:szCs w:val="22"/>
        </w:rPr>
      </w:pPr>
    </w:p>
    <w:p w:rsidR="00692252" w:rsidRPr="007315EA" w:rsidRDefault="00692252" w:rsidP="00692252">
      <w:pPr>
        <w:jc w:val="both"/>
        <w:rPr>
          <w:rFonts w:ascii="Verdana" w:hAnsi="Verdana"/>
          <w:sz w:val="22"/>
          <w:szCs w:val="22"/>
        </w:rPr>
      </w:pPr>
      <w:r w:rsidRPr="007315EA">
        <w:rPr>
          <w:noProof/>
        </w:rPr>
        <w:drawing>
          <wp:inline distT="0" distB="0" distL="0" distR="0" wp14:anchorId="552D3119" wp14:editId="41C1779B">
            <wp:extent cx="5400040" cy="2497455"/>
            <wp:effectExtent l="0" t="0" r="10160" b="17145"/>
            <wp:docPr id="19" name="Gráfico 19">
              <a:extLst xmlns:a="http://schemas.openxmlformats.org/drawingml/2006/main">
                <a:ext uri="{FF2B5EF4-FFF2-40B4-BE49-F238E27FC236}">
                  <a16:creationId xmlns:a16="http://schemas.microsoft.com/office/drawing/2014/main" id="{F7A83F79-4F51-46E6-B625-A29D549D5D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92252" w:rsidRPr="007315EA" w:rsidRDefault="00692252" w:rsidP="00692252">
      <w:pPr>
        <w:jc w:val="both"/>
        <w:rPr>
          <w:rFonts w:ascii="Verdana" w:hAnsi="Verdana"/>
          <w:sz w:val="22"/>
          <w:szCs w:val="22"/>
        </w:rPr>
      </w:pPr>
    </w:p>
    <w:p w:rsidR="00692252" w:rsidRPr="007315EA" w:rsidRDefault="00692252" w:rsidP="00692252">
      <w:pPr>
        <w:jc w:val="both"/>
        <w:rPr>
          <w:rFonts w:ascii="Verdana" w:hAnsi="Verdana"/>
          <w:b/>
          <w:sz w:val="22"/>
          <w:szCs w:val="22"/>
        </w:rPr>
      </w:pPr>
      <w:r w:rsidRPr="007315EA">
        <w:rPr>
          <w:rFonts w:ascii="Verdana" w:hAnsi="Verdana"/>
          <w:b/>
          <w:sz w:val="22"/>
          <w:szCs w:val="22"/>
        </w:rPr>
        <w:t>Procedimientos monitorios</w:t>
      </w:r>
    </w:p>
    <w:p w:rsidR="00692252" w:rsidRPr="007315EA" w:rsidRDefault="00692252" w:rsidP="00692252">
      <w:pPr>
        <w:jc w:val="both"/>
        <w:rPr>
          <w:rFonts w:ascii="Verdana" w:hAnsi="Verdana"/>
          <w:sz w:val="22"/>
          <w:szCs w:val="22"/>
        </w:rPr>
      </w:pPr>
    </w:p>
    <w:p w:rsidR="00692252" w:rsidRPr="007315EA" w:rsidRDefault="00692252" w:rsidP="00692252">
      <w:pPr>
        <w:jc w:val="both"/>
        <w:rPr>
          <w:rFonts w:ascii="Verdana" w:hAnsi="Verdana"/>
          <w:sz w:val="22"/>
          <w:szCs w:val="22"/>
        </w:rPr>
      </w:pPr>
      <w:r w:rsidRPr="007315EA">
        <w:rPr>
          <w:rFonts w:ascii="Verdana" w:hAnsi="Verdana"/>
          <w:sz w:val="22"/>
          <w:szCs w:val="22"/>
        </w:rPr>
        <w:t>Por su parte, los procedimientos monitorios presentados en 2021 en los Juzgados de Primera Instancia y de Primera Instancia e Instrucción fueron 804.686, un 13,5 por ciento más que en 2020 y un 11,6 más que en 2019.</w:t>
      </w:r>
    </w:p>
    <w:p w:rsidR="00692252" w:rsidRPr="007315EA" w:rsidRDefault="00692252" w:rsidP="00692252">
      <w:pPr>
        <w:jc w:val="both"/>
        <w:rPr>
          <w:rFonts w:ascii="Verdana" w:hAnsi="Verdana"/>
          <w:sz w:val="22"/>
          <w:szCs w:val="22"/>
        </w:rPr>
      </w:pPr>
    </w:p>
    <w:p w:rsidR="00692252" w:rsidRPr="007315EA" w:rsidRDefault="00692252" w:rsidP="00692252">
      <w:pPr>
        <w:jc w:val="both"/>
        <w:rPr>
          <w:rFonts w:ascii="Verdana" w:hAnsi="Verdana"/>
          <w:sz w:val="22"/>
          <w:szCs w:val="22"/>
        </w:rPr>
      </w:pPr>
      <w:r w:rsidRPr="007315EA">
        <w:rPr>
          <w:rFonts w:ascii="Verdana" w:hAnsi="Verdana"/>
          <w:sz w:val="22"/>
          <w:szCs w:val="22"/>
        </w:rPr>
        <w:t>Este tipo de procedimiento sirve para reclamar deudas dinerarias líquidas, determinadas, vencidas y exigibles, e incluyen las cantidades debidas en concepto de gastos comunes de comunidades de propietarios de inmuebles urbanos.</w:t>
      </w:r>
    </w:p>
    <w:p w:rsidR="00692252" w:rsidRPr="007315EA" w:rsidRDefault="00692252" w:rsidP="00692252">
      <w:pPr>
        <w:jc w:val="center"/>
        <w:rPr>
          <w:rFonts w:ascii="Verdana" w:hAnsi="Verdana"/>
          <w:b/>
        </w:rPr>
      </w:pPr>
    </w:p>
    <w:p w:rsidR="00692252" w:rsidRPr="007315EA" w:rsidRDefault="00692252" w:rsidP="00692252">
      <w:pPr>
        <w:jc w:val="both"/>
        <w:rPr>
          <w:rFonts w:ascii="Verdana" w:hAnsi="Verdana"/>
          <w:b/>
          <w:sz w:val="22"/>
          <w:szCs w:val="22"/>
        </w:rPr>
      </w:pPr>
      <w:r w:rsidRPr="007315EA">
        <w:rPr>
          <w:rFonts w:ascii="Verdana" w:hAnsi="Verdana"/>
          <w:b/>
          <w:sz w:val="22"/>
          <w:szCs w:val="22"/>
        </w:rPr>
        <w:t>Acciones individuales sobre condiciones generales incluidas en contratos de financiación con garantías reales inmobiliarias cuyo prestatario sea una persona física (clausulas suelo)</w:t>
      </w:r>
    </w:p>
    <w:p w:rsidR="00692252" w:rsidRPr="007315EA" w:rsidRDefault="00692252" w:rsidP="00692252">
      <w:pPr>
        <w:jc w:val="both"/>
        <w:rPr>
          <w:rFonts w:ascii="Verdana" w:hAnsi="Verdana"/>
          <w:b/>
          <w:sz w:val="22"/>
          <w:szCs w:val="22"/>
        </w:rPr>
      </w:pPr>
    </w:p>
    <w:p w:rsidR="00692252" w:rsidRPr="007315EA" w:rsidRDefault="00692252" w:rsidP="00692252">
      <w:pPr>
        <w:jc w:val="both"/>
        <w:rPr>
          <w:rFonts w:ascii="Verdana" w:hAnsi="Verdana"/>
          <w:sz w:val="22"/>
          <w:szCs w:val="22"/>
        </w:rPr>
      </w:pPr>
      <w:r w:rsidRPr="007315EA">
        <w:rPr>
          <w:rFonts w:ascii="Verdana" w:hAnsi="Verdana"/>
          <w:sz w:val="22"/>
          <w:szCs w:val="22"/>
        </w:rPr>
        <w:t>En el año de 2021</w:t>
      </w:r>
      <w:r w:rsidR="006455F8">
        <w:rPr>
          <w:rFonts w:ascii="Verdana" w:hAnsi="Verdana"/>
          <w:sz w:val="22"/>
          <w:szCs w:val="22"/>
        </w:rPr>
        <w:t>,</w:t>
      </w:r>
      <w:r w:rsidRPr="007315EA">
        <w:rPr>
          <w:rFonts w:ascii="Verdana" w:hAnsi="Verdana"/>
          <w:sz w:val="22"/>
          <w:szCs w:val="22"/>
        </w:rPr>
        <w:t xml:space="preserve"> </w:t>
      </w:r>
      <w:r w:rsidR="006455F8">
        <w:rPr>
          <w:rFonts w:ascii="Verdana" w:hAnsi="Verdana"/>
          <w:sz w:val="22"/>
          <w:szCs w:val="22"/>
        </w:rPr>
        <w:t>ingresaron</w:t>
      </w:r>
      <w:r w:rsidRPr="007315EA">
        <w:rPr>
          <w:rFonts w:ascii="Verdana" w:hAnsi="Verdana"/>
          <w:sz w:val="22"/>
          <w:szCs w:val="22"/>
        </w:rPr>
        <w:t xml:space="preserve"> en los juzgados especializados 116.293 asuntos de esta naturaleza</w:t>
      </w:r>
      <w:r w:rsidR="006455F8">
        <w:rPr>
          <w:rFonts w:ascii="Verdana" w:hAnsi="Verdana"/>
          <w:sz w:val="22"/>
          <w:szCs w:val="22"/>
        </w:rPr>
        <w:t xml:space="preserve">, lo que representa </w:t>
      </w:r>
      <w:r w:rsidRPr="007315EA">
        <w:rPr>
          <w:rFonts w:ascii="Verdana" w:hAnsi="Verdana"/>
          <w:sz w:val="22"/>
          <w:szCs w:val="22"/>
        </w:rPr>
        <w:t xml:space="preserve">un </w:t>
      </w:r>
      <w:r w:rsidR="006455F8">
        <w:rPr>
          <w:rFonts w:ascii="Verdana" w:hAnsi="Verdana"/>
          <w:sz w:val="22"/>
          <w:szCs w:val="22"/>
        </w:rPr>
        <w:t xml:space="preserve">incremento del </w:t>
      </w:r>
      <w:r w:rsidRPr="007315EA">
        <w:rPr>
          <w:rFonts w:ascii="Verdana" w:hAnsi="Verdana"/>
          <w:sz w:val="22"/>
          <w:szCs w:val="22"/>
        </w:rPr>
        <w:t xml:space="preserve">5 </w:t>
      </w:r>
      <w:r w:rsidR="006455F8">
        <w:rPr>
          <w:rFonts w:ascii="Verdana" w:hAnsi="Verdana"/>
          <w:sz w:val="22"/>
          <w:szCs w:val="22"/>
        </w:rPr>
        <w:t>% respecto a</w:t>
      </w:r>
      <w:r w:rsidRPr="007315EA">
        <w:rPr>
          <w:rFonts w:ascii="Verdana" w:hAnsi="Verdana"/>
          <w:sz w:val="22"/>
          <w:szCs w:val="22"/>
        </w:rPr>
        <w:t xml:space="preserve"> 2020. </w:t>
      </w:r>
      <w:r w:rsidR="006455F8">
        <w:rPr>
          <w:rFonts w:ascii="Verdana" w:hAnsi="Verdana"/>
          <w:sz w:val="22"/>
          <w:szCs w:val="22"/>
        </w:rPr>
        <w:t>Durante el pasado año, se dictaron un total de</w:t>
      </w:r>
      <w:r w:rsidRPr="007315EA">
        <w:rPr>
          <w:rFonts w:ascii="Verdana" w:hAnsi="Verdana"/>
          <w:sz w:val="22"/>
          <w:szCs w:val="22"/>
        </w:rPr>
        <w:t xml:space="preserve"> 123.938 sentencias.</w:t>
      </w:r>
    </w:p>
    <w:p w:rsidR="00692252" w:rsidRPr="007315EA" w:rsidRDefault="00692252" w:rsidP="00692252">
      <w:pPr>
        <w:jc w:val="center"/>
        <w:rPr>
          <w:rFonts w:ascii="Verdana" w:hAnsi="Verdana"/>
          <w:b/>
        </w:rPr>
      </w:pPr>
    </w:p>
    <w:p w:rsidR="00692252" w:rsidRPr="007315EA" w:rsidRDefault="00692252" w:rsidP="00692252">
      <w:pPr>
        <w:jc w:val="both"/>
        <w:rPr>
          <w:rFonts w:ascii="Verdana" w:hAnsi="Verdana"/>
          <w:b/>
          <w:sz w:val="22"/>
          <w:szCs w:val="22"/>
        </w:rPr>
      </w:pPr>
      <w:r w:rsidRPr="007315EA">
        <w:rPr>
          <w:rFonts w:ascii="Verdana" w:hAnsi="Verdana"/>
          <w:b/>
          <w:sz w:val="22"/>
          <w:szCs w:val="22"/>
        </w:rPr>
        <w:t>Verbales posesorios por ocupación ilegal de viviendas</w:t>
      </w:r>
    </w:p>
    <w:p w:rsidR="00692252" w:rsidRPr="007315EA" w:rsidRDefault="00692252" w:rsidP="00692252">
      <w:pPr>
        <w:jc w:val="both"/>
        <w:rPr>
          <w:rFonts w:ascii="Verdana" w:hAnsi="Verdana"/>
          <w:sz w:val="22"/>
          <w:szCs w:val="22"/>
        </w:rPr>
      </w:pPr>
    </w:p>
    <w:p w:rsidR="00692252" w:rsidRPr="007315EA" w:rsidRDefault="00692252" w:rsidP="00692252">
      <w:pPr>
        <w:jc w:val="both"/>
        <w:rPr>
          <w:rFonts w:ascii="Verdana" w:hAnsi="Verdana"/>
          <w:sz w:val="22"/>
          <w:szCs w:val="22"/>
        </w:rPr>
      </w:pPr>
      <w:r w:rsidRPr="007315EA">
        <w:rPr>
          <w:rFonts w:ascii="Verdana" w:hAnsi="Verdana"/>
          <w:sz w:val="22"/>
          <w:szCs w:val="22"/>
        </w:rPr>
        <w:t>En el año 2021</w:t>
      </w:r>
      <w:r w:rsidR="006455F8">
        <w:rPr>
          <w:rFonts w:ascii="Verdana" w:hAnsi="Verdana"/>
          <w:sz w:val="22"/>
          <w:szCs w:val="22"/>
        </w:rPr>
        <w:t>,</w:t>
      </w:r>
      <w:r w:rsidRPr="007315EA">
        <w:rPr>
          <w:rFonts w:ascii="Verdana" w:hAnsi="Verdana"/>
          <w:sz w:val="22"/>
          <w:szCs w:val="22"/>
        </w:rPr>
        <w:t xml:space="preserve"> </w:t>
      </w:r>
      <w:r w:rsidR="006455F8">
        <w:rPr>
          <w:rFonts w:ascii="Verdana" w:hAnsi="Verdana"/>
          <w:sz w:val="22"/>
          <w:szCs w:val="22"/>
        </w:rPr>
        <w:t>ingresaron</w:t>
      </w:r>
      <w:r w:rsidRPr="007315EA">
        <w:rPr>
          <w:rFonts w:ascii="Verdana" w:hAnsi="Verdana"/>
          <w:sz w:val="22"/>
          <w:szCs w:val="22"/>
        </w:rPr>
        <w:t xml:space="preserve"> 3.479</w:t>
      </w:r>
      <w:r w:rsidR="006455F8">
        <w:rPr>
          <w:rFonts w:ascii="Verdana" w:hAnsi="Verdana"/>
          <w:sz w:val="22"/>
          <w:szCs w:val="22"/>
        </w:rPr>
        <w:t xml:space="preserve"> verbales posesorios por ocupación ilegal de viviendas</w:t>
      </w:r>
      <w:r w:rsidRPr="007315EA">
        <w:rPr>
          <w:rFonts w:ascii="Verdana" w:hAnsi="Verdana"/>
          <w:sz w:val="22"/>
          <w:szCs w:val="22"/>
        </w:rPr>
        <w:t xml:space="preserve">, un 1 </w:t>
      </w:r>
      <w:r w:rsidR="006455F8">
        <w:rPr>
          <w:rFonts w:ascii="Verdana" w:hAnsi="Verdana"/>
          <w:sz w:val="22"/>
          <w:szCs w:val="22"/>
        </w:rPr>
        <w:t>%</w:t>
      </w:r>
      <w:r w:rsidRPr="007315EA">
        <w:rPr>
          <w:rFonts w:ascii="Verdana" w:hAnsi="Verdana"/>
          <w:sz w:val="22"/>
          <w:szCs w:val="22"/>
        </w:rPr>
        <w:t xml:space="preserve"> más que en 2020 y un 13,4 menos que en 2019. En Cataluña </w:t>
      </w:r>
      <w:r w:rsidR="006455F8">
        <w:rPr>
          <w:rFonts w:ascii="Verdana" w:hAnsi="Verdana"/>
          <w:sz w:val="22"/>
          <w:szCs w:val="22"/>
        </w:rPr>
        <w:t>sumaron</w:t>
      </w:r>
      <w:r w:rsidRPr="007315EA">
        <w:rPr>
          <w:rFonts w:ascii="Verdana" w:hAnsi="Verdana"/>
          <w:sz w:val="22"/>
          <w:szCs w:val="22"/>
        </w:rPr>
        <w:t xml:space="preserve"> 930</w:t>
      </w:r>
      <w:r w:rsidR="006455F8">
        <w:rPr>
          <w:rFonts w:ascii="Verdana" w:hAnsi="Verdana"/>
          <w:sz w:val="22"/>
          <w:szCs w:val="22"/>
        </w:rPr>
        <w:t xml:space="preserve"> (el</w:t>
      </w:r>
      <w:r w:rsidRPr="007315EA">
        <w:rPr>
          <w:rFonts w:ascii="Verdana" w:hAnsi="Verdana"/>
          <w:sz w:val="22"/>
          <w:szCs w:val="22"/>
        </w:rPr>
        <w:t xml:space="preserve"> 26</w:t>
      </w:r>
      <w:r w:rsidR="006455F8">
        <w:rPr>
          <w:rFonts w:ascii="Verdana" w:hAnsi="Verdana"/>
          <w:sz w:val="22"/>
          <w:szCs w:val="22"/>
        </w:rPr>
        <w:t>,</w:t>
      </w:r>
      <w:r w:rsidRPr="007315EA">
        <w:rPr>
          <w:rFonts w:ascii="Verdana" w:hAnsi="Verdana"/>
          <w:sz w:val="22"/>
          <w:szCs w:val="22"/>
        </w:rPr>
        <w:t xml:space="preserve">7 </w:t>
      </w:r>
      <w:r w:rsidR="006455F8">
        <w:rPr>
          <w:rFonts w:ascii="Verdana" w:hAnsi="Verdana"/>
          <w:sz w:val="22"/>
          <w:szCs w:val="22"/>
        </w:rPr>
        <w:t>%</w:t>
      </w:r>
      <w:r w:rsidRPr="007315EA">
        <w:rPr>
          <w:rFonts w:ascii="Verdana" w:hAnsi="Verdana"/>
          <w:sz w:val="22"/>
          <w:szCs w:val="22"/>
        </w:rPr>
        <w:t xml:space="preserve"> del total nacional</w:t>
      </w:r>
      <w:r w:rsidR="006455F8">
        <w:rPr>
          <w:rFonts w:ascii="Verdana" w:hAnsi="Verdana"/>
          <w:sz w:val="22"/>
          <w:szCs w:val="22"/>
        </w:rPr>
        <w:t>)</w:t>
      </w:r>
      <w:r w:rsidRPr="007315EA">
        <w:rPr>
          <w:rFonts w:ascii="Verdana" w:hAnsi="Verdana"/>
          <w:sz w:val="22"/>
          <w:szCs w:val="22"/>
        </w:rPr>
        <w:t>. Le siguen Andalucía, con 814; Comuni</w:t>
      </w:r>
      <w:r w:rsidR="00007149">
        <w:rPr>
          <w:rFonts w:ascii="Verdana" w:hAnsi="Verdana"/>
          <w:sz w:val="22"/>
          <w:szCs w:val="22"/>
        </w:rPr>
        <w:t>dad</w:t>
      </w:r>
      <w:r w:rsidRPr="007315EA">
        <w:rPr>
          <w:rFonts w:ascii="Verdana" w:hAnsi="Verdana"/>
          <w:sz w:val="22"/>
          <w:szCs w:val="22"/>
        </w:rPr>
        <w:t xml:space="preserve"> Valenciana, </w:t>
      </w:r>
      <w:r w:rsidR="006455F8">
        <w:rPr>
          <w:rFonts w:ascii="Verdana" w:hAnsi="Verdana"/>
          <w:sz w:val="22"/>
          <w:szCs w:val="22"/>
        </w:rPr>
        <w:t xml:space="preserve">con </w:t>
      </w:r>
      <w:r w:rsidRPr="007315EA">
        <w:rPr>
          <w:rFonts w:ascii="Verdana" w:hAnsi="Verdana"/>
          <w:sz w:val="22"/>
          <w:szCs w:val="22"/>
        </w:rPr>
        <w:t xml:space="preserve">423; y Madrid, </w:t>
      </w:r>
      <w:r w:rsidR="006455F8">
        <w:rPr>
          <w:rFonts w:ascii="Verdana" w:hAnsi="Verdana"/>
          <w:sz w:val="22"/>
          <w:szCs w:val="22"/>
        </w:rPr>
        <w:t xml:space="preserve">con </w:t>
      </w:r>
      <w:r w:rsidRPr="007315EA">
        <w:rPr>
          <w:rFonts w:ascii="Verdana" w:hAnsi="Verdana"/>
          <w:sz w:val="22"/>
          <w:szCs w:val="22"/>
        </w:rPr>
        <w:t>263.</w:t>
      </w:r>
    </w:p>
    <w:p w:rsidR="00692252" w:rsidRPr="007315EA" w:rsidRDefault="00692252" w:rsidP="00692252">
      <w:pPr>
        <w:jc w:val="center"/>
        <w:rPr>
          <w:rFonts w:ascii="Verdana" w:hAnsi="Verdana"/>
          <w:b/>
        </w:rPr>
      </w:pPr>
    </w:p>
    <w:p w:rsidR="00692252" w:rsidRPr="007315EA" w:rsidRDefault="00692252" w:rsidP="00692252">
      <w:pPr>
        <w:jc w:val="center"/>
        <w:rPr>
          <w:rFonts w:ascii="Verdana" w:hAnsi="Verdana"/>
          <w:b/>
        </w:rPr>
      </w:pPr>
      <w:r w:rsidRPr="007315EA">
        <w:rPr>
          <w:noProof/>
        </w:rPr>
        <w:drawing>
          <wp:inline distT="0" distB="0" distL="0" distR="0" wp14:anchorId="361641E3" wp14:editId="0EEA6D5F">
            <wp:extent cx="5400040" cy="2727960"/>
            <wp:effectExtent l="0" t="0" r="10160" b="15240"/>
            <wp:docPr id="17" name="Gráfico 17">
              <a:extLst xmlns:a="http://schemas.openxmlformats.org/drawingml/2006/main">
                <a:ext uri="{FF2B5EF4-FFF2-40B4-BE49-F238E27FC236}">
                  <a16:creationId xmlns:a16="http://schemas.microsoft.com/office/drawing/2014/main" id="{C9243759-A6CF-4949-A04E-6AD1F08876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92252" w:rsidRPr="007315EA" w:rsidRDefault="00692252" w:rsidP="00692252">
      <w:pPr>
        <w:jc w:val="both"/>
        <w:rPr>
          <w:rFonts w:ascii="Verdana" w:hAnsi="Verdana"/>
          <w:sz w:val="22"/>
          <w:szCs w:val="22"/>
        </w:rPr>
      </w:pPr>
    </w:p>
    <w:p w:rsidR="00692252" w:rsidRDefault="00692252" w:rsidP="000F01D3">
      <w:pPr>
        <w:jc w:val="both"/>
        <w:rPr>
          <w:rFonts w:ascii="Verdana" w:hAnsi="Verdana"/>
          <w:sz w:val="22"/>
          <w:szCs w:val="22"/>
        </w:rPr>
      </w:pPr>
    </w:p>
    <w:p w:rsidR="000F01D3" w:rsidRPr="00F87206" w:rsidRDefault="00F87206" w:rsidP="00F87206">
      <w:pPr>
        <w:rPr>
          <w:rFonts w:ascii="Verdana" w:hAnsi="Verdana"/>
          <w:b/>
          <w:sz w:val="22"/>
          <w:szCs w:val="22"/>
        </w:rPr>
      </w:pPr>
      <w:r>
        <w:rPr>
          <w:rFonts w:ascii="Verdana" w:hAnsi="Verdana"/>
          <w:b/>
          <w:sz w:val="22"/>
          <w:szCs w:val="22"/>
        </w:rPr>
        <w:t>Datos del c</w:t>
      </w:r>
      <w:r w:rsidR="000F01D3" w:rsidRPr="00F87206">
        <w:rPr>
          <w:rFonts w:ascii="Verdana" w:hAnsi="Verdana"/>
          <w:b/>
          <w:sz w:val="22"/>
          <w:szCs w:val="22"/>
        </w:rPr>
        <w:t>uarto trimestre de 2021</w:t>
      </w:r>
    </w:p>
    <w:p w:rsidR="000F01D3" w:rsidRPr="007315EA" w:rsidRDefault="000F01D3" w:rsidP="000F01D3">
      <w:pPr>
        <w:jc w:val="both"/>
        <w:rPr>
          <w:rFonts w:ascii="Verdana" w:hAnsi="Verdana"/>
          <w:sz w:val="22"/>
          <w:szCs w:val="22"/>
        </w:rPr>
      </w:pPr>
    </w:p>
    <w:p w:rsidR="000F01D3" w:rsidRPr="007315EA" w:rsidRDefault="000F01D3" w:rsidP="000F01D3">
      <w:pPr>
        <w:jc w:val="both"/>
        <w:rPr>
          <w:rFonts w:ascii="Verdana" w:hAnsi="Verdana"/>
          <w:sz w:val="22"/>
          <w:szCs w:val="22"/>
        </w:rPr>
      </w:pPr>
      <w:r w:rsidRPr="007315EA">
        <w:rPr>
          <w:rFonts w:ascii="Verdana" w:hAnsi="Verdana"/>
          <w:sz w:val="22"/>
          <w:szCs w:val="22"/>
        </w:rPr>
        <w:t>El número de lanzamientos practicados en el cuarto trimestre de 2021, 10.161, ha sido un 9,8% inferior al mismo trimestre de 2020.</w:t>
      </w:r>
      <w:r w:rsidR="007135C8">
        <w:rPr>
          <w:rFonts w:ascii="Verdana" w:hAnsi="Verdana"/>
          <w:sz w:val="22"/>
          <w:szCs w:val="22"/>
        </w:rPr>
        <w:t xml:space="preserve"> </w:t>
      </w:r>
      <w:r w:rsidRPr="007315EA">
        <w:rPr>
          <w:rFonts w:ascii="Verdana" w:hAnsi="Verdana"/>
          <w:sz w:val="22"/>
          <w:szCs w:val="22"/>
        </w:rPr>
        <w:t xml:space="preserve">El 69,8 por ciento de </w:t>
      </w:r>
      <w:r w:rsidR="007135C8">
        <w:rPr>
          <w:rFonts w:ascii="Verdana" w:hAnsi="Verdana"/>
          <w:sz w:val="22"/>
          <w:szCs w:val="22"/>
        </w:rPr>
        <w:t>el</w:t>
      </w:r>
      <w:r w:rsidRPr="007315EA">
        <w:rPr>
          <w:rFonts w:ascii="Verdana" w:hAnsi="Verdana"/>
          <w:sz w:val="22"/>
          <w:szCs w:val="22"/>
        </w:rPr>
        <w:t xml:space="preserve">los, 7.097, fue consecuencia de procedimientos derivados de la Ley de Arrendamientos Urbanos (LAU), mientras que otros 2.503 </w:t>
      </w:r>
      <w:r w:rsidR="007135C8">
        <w:rPr>
          <w:rFonts w:ascii="Verdana" w:hAnsi="Verdana"/>
          <w:sz w:val="22"/>
          <w:szCs w:val="22"/>
        </w:rPr>
        <w:t>(</w:t>
      </w:r>
      <w:r w:rsidRPr="007315EA">
        <w:rPr>
          <w:rFonts w:ascii="Verdana" w:hAnsi="Verdana"/>
          <w:sz w:val="22"/>
          <w:szCs w:val="22"/>
        </w:rPr>
        <w:t>el 24,6 por ciento</w:t>
      </w:r>
      <w:r w:rsidR="007135C8">
        <w:rPr>
          <w:rFonts w:ascii="Verdana" w:hAnsi="Verdana"/>
          <w:sz w:val="22"/>
          <w:szCs w:val="22"/>
        </w:rPr>
        <w:t>)</w:t>
      </w:r>
      <w:r w:rsidRPr="007315EA">
        <w:rPr>
          <w:rFonts w:ascii="Verdana" w:hAnsi="Verdana"/>
          <w:sz w:val="22"/>
          <w:szCs w:val="22"/>
        </w:rPr>
        <w:t xml:space="preserve"> se derivó de ejecuciones hipotecarias</w:t>
      </w:r>
      <w:r w:rsidR="007135C8">
        <w:rPr>
          <w:rFonts w:ascii="Verdana" w:hAnsi="Verdana"/>
          <w:sz w:val="22"/>
          <w:szCs w:val="22"/>
        </w:rPr>
        <w:t>;</w:t>
      </w:r>
      <w:r w:rsidRPr="007315EA">
        <w:rPr>
          <w:rFonts w:ascii="Verdana" w:hAnsi="Verdana"/>
          <w:sz w:val="22"/>
          <w:szCs w:val="22"/>
        </w:rPr>
        <w:t xml:space="preserve"> los 561 restantes obedecieron a otras causas.</w:t>
      </w:r>
    </w:p>
    <w:p w:rsidR="000F01D3" w:rsidRPr="007315EA" w:rsidRDefault="000F01D3" w:rsidP="000F01D3">
      <w:pPr>
        <w:jc w:val="both"/>
        <w:rPr>
          <w:rFonts w:ascii="Verdana" w:hAnsi="Verdana"/>
          <w:sz w:val="22"/>
          <w:szCs w:val="22"/>
        </w:rPr>
      </w:pPr>
    </w:p>
    <w:p w:rsidR="000F01D3" w:rsidRPr="00DD5744" w:rsidRDefault="000F01D3" w:rsidP="000F01D3">
      <w:pPr>
        <w:jc w:val="both"/>
        <w:rPr>
          <w:rFonts w:ascii="Verdana" w:hAnsi="Verdana"/>
          <w:sz w:val="22"/>
          <w:szCs w:val="22"/>
        </w:rPr>
      </w:pPr>
      <w:r w:rsidRPr="00DD5744">
        <w:rPr>
          <w:rFonts w:ascii="Verdana" w:hAnsi="Verdana"/>
          <w:sz w:val="22"/>
          <w:szCs w:val="22"/>
        </w:rPr>
        <w:t>Los lanzamientos derivados de ejecuciones hipotecarias han mostrado un</w:t>
      </w:r>
      <w:r w:rsidR="007135C8" w:rsidRPr="00DD5744">
        <w:rPr>
          <w:rFonts w:ascii="Verdana" w:hAnsi="Verdana"/>
          <w:sz w:val="22"/>
          <w:szCs w:val="22"/>
        </w:rPr>
        <w:t xml:space="preserve">a disminución </w:t>
      </w:r>
      <w:r w:rsidRPr="00DD5744">
        <w:rPr>
          <w:rFonts w:ascii="Verdana" w:hAnsi="Verdana"/>
          <w:sz w:val="22"/>
          <w:szCs w:val="22"/>
        </w:rPr>
        <w:t xml:space="preserve">interanual del </w:t>
      </w:r>
      <w:r w:rsidR="007135C8" w:rsidRPr="00DD5744">
        <w:rPr>
          <w:rFonts w:ascii="Verdana" w:hAnsi="Verdana"/>
          <w:sz w:val="22"/>
          <w:szCs w:val="22"/>
        </w:rPr>
        <w:t>5,9</w:t>
      </w:r>
      <w:r w:rsidRPr="00DD5744">
        <w:rPr>
          <w:rFonts w:ascii="Verdana" w:hAnsi="Verdana"/>
          <w:sz w:val="22"/>
          <w:szCs w:val="22"/>
        </w:rPr>
        <w:t xml:space="preserve"> por ciento; los derivados de la Ley de Arrendamientos Urbanos</w:t>
      </w:r>
      <w:r w:rsidR="007135C8" w:rsidRPr="00DD5744">
        <w:rPr>
          <w:rFonts w:ascii="Verdana" w:hAnsi="Verdana"/>
          <w:sz w:val="22"/>
          <w:szCs w:val="22"/>
        </w:rPr>
        <w:t xml:space="preserve"> disminuyeron un 11,8</w:t>
      </w:r>
      <w:r w:rsidRPr="00DD5744">
        <w:rPr>
          <w:rFonts w:ascii="Verdana" w:hAnsi="Verdana"/>
          <w:sz w:val="22"/>
          <w:szCs w:val="22"/>
        </w:rPr>
        <w:t xml:space="preserve"> por ciento; y los derivados de otras causas</w:t>
      </w:r>
      <w:r w:rsidR="007135C8" w:rsidRPr="00DD5744">
        <w:rPr>
          <w:rFonts w:ascii="Verdana" w:hAnsi="Verdana"/>
          <w:sz w:val="22"/>
          <w:szCs w:val="22"/>
        </w:rPr>
        <w:t xml:space="preserve"> se mantuvieron prácticamente en la misma cantidad, al aumentar un 0,7 por ciento respecto a 2020</w:t>
      </w:r>
      <w:r w:rsidRPr="00DD5744">
        <w:rPr>
          <w:rFonts w:ascii="Verdana" w:hAnsi="Verdana"/>
          <w:sz w:val="22"/>
          <w:szCs w:val="22"/>
        </w:rPr>
        <w:t>.</w:t>
      </w:r>
    </w:p>
    <w:p w:rsidR="000F01D3" w:rsidRPr="007315EA" w:rsidRDefault="000F01D3" w:rsidP="000F01D3">
      <w:pPr>
        <w:jc w:val="both"/>
        <w:rPr>
          <w:rFonts w:ascii="Verdana" w:hAnsi="Verdana"/>
          <w:sz w:val="22"/>
          <w:szCs w:val="22"/>
        </w:rPr>
      </w:pPr>
      <w:bookmarkStart w:id="0" w:name="_GoBack"/>
      <w:bookmarkEnd w:id="0"/>
    </w:p>
    <w:p w:rsidR="000F01D3" w:rsidRPr="007315EA" w:rsidRDefault="000F01D3" w:rsidP="000F01D3">
      <w:pPr>
        <w:jc w:val="both"/>
        <w:rPr>
          <w:rFonts w:ascii="Verdana" w:hAnsi="Verdana"/>
          <w:sz w:val="22"/>
          <w:szCs w:val="22"/>
        </w:rPr>
      </w:pPr>
      <w:r w:rsidRPr="007315EA">
        <w:rPr>
          <w:noProof/>
        </w:rPr>
        <w:drawing>
          <wp:inline distT="0" distB="0" distL="0" distR="0" wp14:anchorId="75D901E8" wp14:editId="212B2515">
            <wp:extent cx="5400040" cy="2453005"/>
            <wp:effectExtent l="0" t="0" r="0" b="4445"/>
            <wp:docPr id="22" name="Gráfico 22">
              <a:extLst xmlns:a="http://schemas.openxmlformats.org/drawingml/2006/main">
                <a:ext uri="{FF2B5EF4-FFF2-40B4-BE49-F238E27FC236}">
                  <a16:creationId xmlns:a16="http://schemas.microsoft.com/office/drawing/2014/main" id="{00000000-0008-0000-0100-0000728C31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F01D3" w:rsidRPr="007315EA" w:rsidRDefault="000F01D3" w:rsidP="000F01D3">
      <w:pPr>
        <w:jc w:val="both"/>
        <w:rPr>
          <w:rFonts w:ascii="Verdana" w:hAnsi="Verdana"/>
          <w:sz w:val="22"/>
          <w:szCs w:val="22"/>
        </w:rPr>
      </w:pPr>
      <w:r w:rsidRPr="007315EA">
        <w:rPr>
          <w:rFonts w:ascii="Verdana" w:hAnsi="Verdana"/>
          <w:sz w:val="22"/>
          <w:szCs w:val="22"/>
        </w:rPr>
        <w:t>Cataluña –con 2.386, el 23,5 por ciento del total nacional- ha sido la Comunidad Autónoma en la que se practicaron más lanzamientos en el cuarto trimestre de 2021, seguida por Andalucía</w:t>
      </w:r>
      <w:r w:rsidR="00374CEA">
        <w:rPr>
          <w:rFonts w:ascii="Verdana" w:hAnsi="Verdana"/>
          <w:sz w:val="22"/>
          <w:szCs w:val="22"/>
        </w:rPr>
        <w:t xml:space="preserve">, </w:t>
      </w:r>
      <w:r w:rsidRPr="007315EA">
        <w:rPr>
          <w:rFonts w:ascii="Verdana" w:hAnsi="Verdana"/>
          <w:sz w:val="22"/>
          <w:szCs w:val="22"/>
        </w:rPr>
        <w:t>con 1606; la Comunidad Valenciana</w:t>
      </w:r>
      <w:r w:rsidR="00374CEA">
        <w:rPr>
          <w:rFonts w:ascii="Verdana" w:hAnsi="Verdana"/>
          <w:sz w:val="22"/>
          <w:szCs w:val="22"/>
        </w:rPr>
        <w:t xml:space="preserve">, </w:t>
      </w:r>
      <w:r w:rsidRPr="007315EA">
        <w:rPr>
          <w:rFonts w:ascii="Verdana" w:hAnsi="Verdana"/>
          <w:sz w:val="22"/>
          <w:szCs w:val="22"/>
        </w:rPr>
        <w:t xml:space="preserve">con 1.552 y Madrid, con 1.044. </w:t>
      </w:r>
    </w:p>
    <w:p w:rsidR="000F01D3" w:rsidRPr="007315EA" w:rsidRDefault="000F01D3" w:rsidP="000F01D3">
      <w:pPr>
        <w:jc w:val="both"/>
        <w:rPr>
          <w:rFonts w:ascii="Verdana" w:hAnsi="Verdana"/>
          <w:sz w:val="22"/>
          <w:szCs w:val="22"/>
        </w:rPr>
      </w:pPr>
    </w:p>
    <w:p w:rsidR="000F01D3" w:rsidRDefault="000F01D3" w:rsidP="000F01D3">
      <w:pPr>
        <w:jc w:val="both"/>
        <w:rPr>
          <w:rFonts w:ascii="Verdana" w:hAnsi="Verdana"/>
          <w:sz w:val="22"/>
          <w:szCs w:val="22"/>
        </w:rPr>
      </w:pPr>
      <w:r w:rsidRPr="007315EA">
        <w:rPr>
          <w:rFonts w:ascii="Verdana" w:hAnsi="Verdana"/>
          <w:sz w:val="22"/>
          <w:szCs w:val="22"/>
        </w:rPr>
        <w:t>Atendiendo solo a los lanzamientos consecuencia de procedimientos derivados de la LAU, en el primer lugar aparece también Cataluña, con 1.646, el 23,2 por ciento del total</w:t>
      </w:r>
      <w:r w:rsidR="00374CEA">
        <w:rPr>
          <w:rFonts w:ascii="Verdana" w:hAnsi="Verdana"/>
          <w:sz w:val="22"/>
          <w:szCs w:val="22"/>
        </w:rPr>
        <w:t>. Le siguen</w:t>
      </w:r>
      <w:r w:rsidRPr="007315EA">
        <w:rPr>
          <w:rFonts w:ascii="Verdana" w:hAnsi="Verdana"/>
          <w:sz w:val="22"/>
          <w:szCs w:val="22"/>
        </w:rPr>
        <w:t xml:space="preserve"> Andalucía, </w:t>
      </w:r>
      <w:r w:rsidR="00374CEA">
        <w:rPr>
          <w:rFonts w:ascii="Verdana" w:hAnsi="Verdana"/>
          <w:sz w:val="22"/>
          <w:szCs w:val="22"/>
        </w:rPr>
        <w:t xml:space="preserve">con </w:t>
      </w:r>
      <w:r w:rsidRPr="007315EA">
        <w:rPr>
          <w:rFonts w:ascii="Verdana" w:hAnsi="Verdana"/>
          <w:sz w:val="22"/>
          <w:szCs w:val="22"/>
        </w:rPr>
        <w:t>1.081</w:t>
      </w:r>
      <w:r w:rsidR="00374CEA">
        <w:rPr>
          <w:rFonts w:ascii="Verdana" w:hAnsi="Verdana"/>
          <w:sz w:val="22"/>
          <w:szCs w:val="22"/>
        </w:rPr>
        <w:t>;</w:t>
      </w:r>
      <w:r w:rsidRPr="007315EA">
        <w:rPr>
          <w:rFonts w:ascii="Verdana" w:hAnsi="Verdana"/>
          <w:sz w:val="22"/>
          <w:szCs w:val="22"/>
        </w:rPr>
        <w:t xml:space="preserve"> la C</w:t>
      </w:r>
      <w:r w:rsidR="00374CEA">
        <w:rPr>
          <w:rFonts w:ascii="Verdana" w:hAnsi="Verdana"/>
          <w:sz w:val="22"/>
          <w:szCs w:val="22"/>
        </w:rPr>
        <w:t>omunidad</w:t>
      </w:r>
      <w:r w:rsidRPr="007315EA">
        <w:rPr>
          <w:rFonts w:ascii="Verdana" w:hAnsi="Verdana"/>
          <w:sz w:val="22"/>
          <w:szCs w:val="22"/>
        </w:rPr>
        <w:t xml:space="preserve"> Valenciana, </w:t>
      </w:r>
      <w:r w:rsidR="00374CEA">
        <w:rPr>
          <w:rFonts w:ascii="Verdana" w:hAnsi="Verdana"/>
          <w:sz w:val="22"/>
          <w:szCs w:val="22"/>
        </w:rPr>
        <w:t xml:space="preserve">con </w:t>
      </w:r>
      <w:r w:rsidRPr="007315EA">
        <w:rPr>
          <w:rFonts w:ascii="Verdana" w:hAnsi="Verdana"/>
          <w:sz w:val="22"/>
          <w:szCs w:val="22"/>
        </w:rPr>
        <w:t>956 y Madrid, con 883. En cuanto a los derivados de ejecuciones hipotecarias, es la C</w:t>
      </w:r>
      <w:r w:rsidR="00374CEA">
        <w:rPr>
          <w:rFonts w:ascii="Verdana" w:hAnsi="Verdana"/>
          <w:sz w:val="22"/>
          <w:szCs w:val="22"/>
        </w:rPr>
        <w:t>omunidad</w:t>
      </w:r>
      <w:r w:rsidRPr="007315EA">
        <w:rPr>
          <w:rFonts w:ascii="Verdana" w:hAnsi="Verdana"/>
          <w:sz w:val="22"/>
          <w:szCs w:val="22"/>
        </w:rPr>
        <w:t xml:space="preserve"> Valenciana, con 552, la que encabeza </w:t>
      </w:r>
      <w:r w:rsidR="00374CEA">
        <w:rPr>
          <w:rFonts w:ascii="Verdana" w:hAnsi="Verdana"/>
          <w:sz w:val="22"/>
          <w:szCs w:val="22"/>
        </w:rPr>
        <w:t>la lista</w:t>
      </w:r>
      <w:r w:rsidRPr="007315EA">
        <w:rPr>
          <w:rFonts w:ascii="Verdana" w:hAnsi="Verdana"/>
          <w:sz w:val="22"/>
          <w:szCs w:val="22"/>
        </w:rPr>
        <w:t xml:space="preserve">, seguida de Cataluña, </w:t>
      </w:r>
      <w:r w:rsidR="00374CEA">
        <w:rPr>
          <w:rFonts w:ascii="Verdana" w:hAnsi="Verdana"/>
          <w:sz w:val="22"/>
          <w:szCs w:val="22"/>
        </w:rPr>
        <w:t xml:space="preserve">con </w:t>
      </w:r>
      <w:r w:rsidRPr="007315EA">
        <w:rPr>
          <w:rFonts w:ascii="Verdana" w:hAnsi="Verdana"/>
          <w:sz w:val="22"/>
          <w:szCs w:val="22"/>
        </w:rPr>
        <w:t xml:space="preserve">479; Andalucía, </w:t>
      </w:r>
      <w:r w:rsidR="00374CEA">
        <w:rPr>
          <w:rFonts w:ascii="Verdana" w:hAnsi="Verdana"/>
          <w:sz w:val="22"/>
          <w:szCs w:val="22"/>
        </w:rPr>
        <w:t xml:space="preserve">con </w:t>
      </w:r>
      <w:r w:rsidRPr="007315EA">
        <w:rPr>
          <w:rFonts w:ascii="Verdana" w:hAnsi="Verdana"/>
          <w:sz w:val="22"/>
          <w:szCs w:val="22"/>
        </w:rPr>
        <w:t xml:space="preserve">419 y Murcia, </w:t>
      </w:r>
      <w:r w:rsidR="00374CEA">
        <w:rPr>
          <w:rFonts w:ascii="Verdana" w:hAnsi="Verdana"/>
          <w:sz w:val="22"/>
          <w:szCs w:val="22"/>
        </w:rPr>
        <w:t xml:space="preserve">con </w:t>
      </w:r>
      <w:r w:rsidRPr="007315EA">
        <w:rPr>
          <w:rFonts w:ascii="Verdana" w:hAnsi="Verdana"/>
          <w:sz w:val="22"/>
          <w:szCs w:val="22"/>
        </w:rPr>
        <w:t>229.</w:t>
      </w:r>
    </w:p>
    <w:p w:rsidR="006D6E6B" w:rsidRDefault="006D6E6B" w:rsidP="000F01D3">
      <w:pPr>
        <w:jc w:val="both"/>
        <w:rPr>
          <w:rFonts w:ascii="Verdana" w:hAnsi="Verdana"/>
          <w:sz w:val="22"/>
          <w:szCs w:val="22"/>
        </w:rPr>
      </w:pPr>
    </w:p>
    <w:p w:rsidR="003B3861" w:rsidRDefault="003B3861" w:rsidP="000F01D3">
      <w:pPr>
        <w:jc w:val="both"/>
        <w:rPr>
          <w:rFonts w:ascii="Verdana" w:hAnsi="Verdana"/>
          <w:sz w:val="22"/>
          <w:szCs w:val="22"/>
        </w:rPr>
      </w:pPr>
    </w:p>
    <w:p w:rsidR="003B3861" w:rsidRPr="003B3861" w:rsidRDefault="003B3861" w:rsidP="003B3861">
      <w:pPr>
        <w:jc w:val="center"/>
        <w:rPr>
          <w:rFonts w:ascii="Verdana" w:hAnsi="Verdana"/>
          <w:b/>
          <w:sz w:val="22"/>
          <w:szCs w:val="22"/>
        </w:rPr>
      </w:pPr>
      <w:r w:rsidRPr="003B3861">
        <w:rPr>
          <w:rFonts w:ascii="Verdana" w:hAnsi="Verdana"/>
          <w:b/>
          <w:sz w:val="22"/>
          <w:szCs w:val="22"/>
        </w:rPr>
        <w:t>Lanzamientos practicados</w:t>
      </w:r>
      <w:r>
        <w:rPr>
          <w:rFonts w:ascii="Verdana" w:hAnsi="Verdana"/>
          <w:b/>
          <w:sz w:val="22"/>
          <w:szCs w:val="22"/>
        </w:rPr>
        <w:t xml:space="preserve"> por CC.AA</w:t>
      </w:r>
      <w:r w:rsidR="008C3280">
        <w:rPr>
          <w:rFonts w:ascii="Verdana" w:hAnsi="Verdana"/>
          <w:b/>
          <w:sz w:val="22"/>
          <w:szCs w:val="22"/>
        </w:rPr>
        <w:t>.</w:t>
      </w:r>
    </w:p>
    <w:p w:rsidR="000F01D3" w:rsidRPr="007315EA" w:rsidRDefault="000F01D3" w:rsidP="000F01D3">
      <w:pPr>
        <w:jc w:val="both"/>
        <w:rPr>
          <w:rFonts w:ascii="Verdana" w:hAnsi="Verdana"/>
          <w:sz w:val="22"/>
          <w:szCs w:val="22"/>
        </w:rPr>
      </w:pPr>
      <w:r w:rsidRPr="007315EA">
        <w:rPr>
          <w:noProof/>
        </w:rPr>
        <w:drawing>
          <wp:inline distT="0" distB="0" distL="0" distR="0" wp14:anchorId="0F3A5D97" wp14:editId="4D251DDB">
            <wp:extent cx="5086350" cy="2757488"/>
            <wp:effectExtent l="0" t="0" r="0" b="5080"/>
            <wp:docPr id="24" name="Gráfico 24">
              <a:extLst xmlns:a="http://schemas.openxmlformats.org/drawingml/2006/main">
                <a:ext uri="{FF2B5EF4-FFF2-40B4-BE49-F238E27FC236}">
                  <a16:creationId xmlns:a16="http://schemas.microsoft.com/office/drawing/2014/main" id="{625C7628-7DDB-4F23-B574-7E921365AB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F01D3" w:rsidRPr="007315EA" w:rsidRDefault="000F01D3" w:rsidP="000F01D3">
      <w:pPr>
        <w:rPr>
          <w:rFonts w:ascii="Verdana" w:hAnsi="Verdana"/>
          <w:sz w:val="22"/>
          <w:szCs w:val="22"/>
        </w:rPr>
      </w:pPr>
    </w:p>
    <w:p w:rsidR="000F01D3" w:rsidRPr="007315EA" w:rsidRDefault="000F01D3" w:rsidP="000F01D3">
      <w:pPr>
        <w:rPr>
          <w:rFonts w:ascii="Verdana" w:hAnsi="Verdana"/>
          <w:sz w:val="22"/>
          <w:szCs w:val="22"/>
        </w:rPr>
      </w:pPr>
    </w:p>
    <w:p w:rsidR="000F01D3" w:rsidRPr="007315EA" w:rsidRDefault="000F01D3" w:rsidP="000F01D3">
      <w:pPr>
        <w:jc w:val="both"/>
        <w:rPr>
          <w:rFonts w:ascii="Verdana" w:hAnsi="Verdana"/>
          <w:sz w:val="22"/>
          <w:szCs w:val="22"/>
        </w:rPr>
      </w:pPr>
      <w:r w:rsidRPr="007315EA">
        <w:rPr>
          <w:rFonts w:ascii="Verdana" w:hAnsi="Verdana"/>
          <w:sz w:val="22"/>
          <w:szCs w:val="22"/>
        </w:rPr>
        <w:t>El informe incluye también el número de lanzamientos solicitados a los servicios comunes de notificaciones y embargos, aunque con la advertencia de que este servicio no existe en todos los partidos judiciales, por lo que el dato permite medir la evolución, pero no indica los valores absolutos. Además, el hecho de que un lanzamiento sea solicitado al servicio común no supone que éste lo haya ejecutado.</w:t>
      </w:r>
    </w:p>
    <w:p w:rsidR="000F01D3" w:rsidRPr="007315EA" w:rsidRDefault="000F01D3" w:rsidP="000F01D3">
      <w:pPr>
        <w:jc w:val="both"/>
        <w:rPr>
          <w:rFonts w:ascii="Verdana" w:hAnsi="Verdana"/>
          <w:sz w:val="22"/>
          <w:szCs w:val="22"/>
        </w:rPr>
      </w:pPr>
    </w:p>
    <w:p w:rsidR="000F01D3" w:rsidRPr="007315EA" w:rsidRDefault="000F01D3" w:rsidP="000F01D3">
      <w:pPr>
        <w:jc w:val="both"/>
        <w:rPr>
          <w:rFonts w:ascii="Verdana" w:hAnsi="Verdana"/>
          <w:sz w:val="22"/>
          <w:szCs w:val="22"/>
        </w:rPr>
      </w:pPr>
      <w:r w:rsidRPr="007315EA">
        <w:rPr>
          <w:rFonts w:ascii="Verdana" w:hAnsi="Verdana"/>
          <w:sz w:val="22"/>
          <w:szCs w:val="22"/>
        </w:rPr>
        <w:t>Con estas premisas, los datos disponibles reflejan que el número de lanzamientos solicitados a los servicios comunes en el cuarto trimestre de 202</w:t>
      </w:r>
      <w:r w:rsidR="006D6E6B">
        <w:rPr>
          <w:rFonts w:ascii="Verdana" w:hAnsi="Verdana"/>
          <w:sz w:val="22"/>
          <w:szCs w:val="22"/>
        </w:rPr>
        <w:t>1</w:t>
      </w:r>
      <w:r w:rsidRPr="007315EA">
        <w:rPr>
          <w:rFonts w:ascii="Verdana" w:hAnsi="Verdana"/>
          <w:sz w:val="22"/>
          <w:szCs w:val="22"/>
        </w:rPr>
        <w:t xml:space="preserve"> fue de 16.187 un 11,3 por ciento menos que en mismo trimestre de 2020. De ellos, 8.045 terminaron con cumplimiento positivo, lo que representa una disminución interanual del 20,8 por ciento.</w:t>
      </w:r>
    </w:p>
    <w:p w:rsidR="000F01D3" w:rsidRDefault="000F01D3" w:rsidP="000F01D3">
      <w:pPr>
        <w:jc w:val="both"/>
        <w:rPr>
          <w:rFonts w:ascii="Verdana" w:hAnsi="Verdana"/>
          <w:b/>
          <w:sz w:val="22"/>
          <w:szCs w:val="22"/>
        </w:rPr>
      </w:pPr>
    </w:p>
    <w:p w:rsidR="006D6E6B" w:rsidRPr="007315EA" w:rsidRDefault="006D6E6B" w:rsidP="000F01D3">
      <w:pPr>
        <w:jc w:val="both"/>
        <w:rPr>
          <w:rFonts w:ascii="Verdana" w:hAnsi="Verdana"/>
          <w:b/>
          <w:sz w:val="22"/>
          <w:szCs w:val="22"/>
        </w:rPr>
      </w:pPr>
    </w:p>
    <w:p w:rsidR="000F01D3" w:rsidRPr="007315EA" w:rsidRDefault="009E50D0" w:rsidP="000F01D3">
      <w:pPr>
        <w:jc w:val="both"/>
        <w:rPr>
          <w:rFonts w:ascii="Verdana" w:hAnsi="Verdana"/>
          <w:b/>
          <w:sz w:val="22"/>
          <w:szCs w:val="22"/>
        </w:rPr>
      </w:pPr>
      <w:r>
        <w:rPr>
          <w:rFonts w:ascii="Verdana" w:hAnsi="Verdana"/>
          <w:b/>
          <w:sz w:val="22"/>
          <w:szCs w:val="22"/>
        </w:rPr>
        <w:t xml:space="preserve">Las ejecuciones hipotecarias bajan un </w:t>
      </w:r>
      <w:r w:rsidR="000F01D3" w:rsidRPr="007315EA">
        <w:rPr>
          <w:rFonts w:ascii="Verdana" w:hAnsi="Verdana"/>
          <w:b/>
          <w:sz w:val="22"/>
          <w:szCs w:val="22"/>
        </w:rPr>
        <w:t>9,4</w:t>
      </w:r>
      <w:r>
        <w:rPr>
          <w:rFonts w:ascii="Verdana" w:hAnsi="Verdana"/>
          <w:b/>
          <w:sz w:val="22"/>
          <w:szCs w:val="22"/>
        </w:rPr>
        <w:t xml:space="preserve"> % en el trimestre</w:t>
      </w:r>
      <w:r w:rsidR="000F01D3" w:rsidRPr="007315EA">
        <w:rPr>
          <w:rFonts w:ascii="Verdana" w:hAnsi="Verdana"/>
          <w:b/>
          <w:sz w:val="22"/>
          <w:szCs w:val="22"/>
        </w:rPr>
        <w:t xml:space="preserve"> </w:t>
      </w:r>
    </w:p>
    <w:p w:rsidR="000F01D3" w:rsidRPr="007315EA" w:rsidRDefault="000F01D3" w:rsidP="000F01D3">
      <w:pPr>
        <w:jc w:val="both"/>
        <w:rPr>
          <w:rFonts w:ascii="Verdana" w:hAnsi="Verdana"/>
          <w:sz w:val="22"/>
          <w:szCs w:val="22"/>
        </w:rPr>
      </w:pPr>
    </w:p>
    <w:p w:rsidR="000F01D3" w:rsidRPr="007315EA" w:rsidRDefault="009E50D0" w:rsidP="000F01D3">
      <w:pPr>
        <w:jc w:val="both"/>
        <w:rPr>
          <w:rFonts w:ascii="Verdana" w:hAnsi="Verdana"/>
          <w:sz w:val="22"/>
          <w:szCs w:val="22"/>
        </w:rPr>
      </w:pPr>
      <w:r>
        <w:rPr>
          <w:rFonts w:ascii="Verdana" w:hAnsi="Verdana"/>
          <w:sz w:val="22"/>
          <w:szCs w:val="22"/>
        </w:rPr>
        <w:t>Durante el último trimestre de 2021, se presentaron</w:t>
      </w:r>
      <w:r w:rsidR="000F01D3" w:rsidRPr="007315EA">
        <w:rPr>
          <w:rFonts w:ascii="Verdana" w:hAnsi="Verdana"/>
          <w:sz w:val="22"/>
          <w:szCs w:val="22"/>
        </w:rPr>
        <w:t xml:space="preserve"> 6.449 ejecuciones hipotecarias, un 9,4 por ciento men</w:t>
      </w:r>
      <w:r>
        <w:rPr>
          <w:rFonts w:ascii="Verdana" w:hAnsi="Verdana"/>
          <w:sz w:val="22"/>
          <w:szCs w:val="22"/>
        </w:rPr>
        <w:t>os que en el mismo periodo del año anterior</w:t>
      </w:r>
      <w:r w:rsidR="000F01D3" w:rsidRPr="007315EA">
        <w:rPr>
          <w:rFonts w:ascii="Verdana" w:hAnsi="Verdana"/>
          <w:sz w:val="22"/>
          <w:szCs w:val="22"/>
        </w:rPr>
        <w:t>. El mayor número se ha dado en Andalucía</w:t>
      </w:r>
      <w:r>
        <w:rPr>
          <w:rFonts w:ascii="Verdana" w:hAnsi="Verdana"/>
          <w:sz w:val="22"/>
          <w:szCs w:val="22"/>
        </w:rPr>
        <w:t xml:space="preserve"> que</w:t>
      </w:r>
      <w:r w:rsidR="000F01D3" w:rsidRPr="007315EA">
        <w:rPr>
          <w:rFonts w:ascii="Verdana" w:hAnsi="Verdana"/>
          <w:sz w:val="22"/>
          <w:szCs w:val="22"/>
        </w:rPr>
        <w:t xml:space="preserve">, </w:t>
      </w:r>
      <w:r>
        <w:rPr>
          <w:rFonts w:ascii="Verdana" w:hAnsi="Verdana"/>
          <w:sz w:val="22"/>
          <w:szCs w:val="22"/>
        </w:rPr>
        <w:t xml:space="preserve">con </w:t>
      </w:r>
      <w:r w:rsidR="000F01D3" w:rsidRPr="007315EA">
        <w:rPr>
          <w:rFonts w:ascii="Verdana" w:hAnsi="Verdana"/>
          <w:sz w:val="22"/>
          <w:szCs w:val="22"/>
        </w:rPr>
        <w:t xml:space="preserve">1.384, </w:t>
      </w:r>
      <w:r>
        <w:rPr>
          <w:rFonts w:ascii="Verdana" w:hAnsi="Verdana"/>
          <w:sz w:val="22"/>
          <w:szCs w:val="22"/>
        </w:rPr>
        <w:t xml:space="preserve">representa el </w:t>
      </w:r>
      <w:r w:rsidR="000F01D3" w:rsidRPr="007315EA">
        <w:rPr>
          <w:rFonts w:ascii="Verdana" w:hAnsi="Verdana"/>
          <w:sz w:val="22"/>
          <w:szCs w:val="22"/>
        </w:rPr>
        <w:t xml:space="preserve">21,5 </w:t>
      </w:r>
      <w:r>
        <w:rPr>
          <w:rFonts w:ascii="Verdana" w:hAnsi="Verdana"/>
          <w:sz w:val="22"/>
          <w:szCs w:val="22"/>
        </w:rPr>
        <w:t>%</w:t>
      </w:r>
      <w:r w:rsidR="000F01D3" w:rsidRPr="007315EA">
        <w:rPr>
          <w:rFonts w:ascii="Verdana" w:hAnsi="Verdana"/>
          <w:sz w:val="22"/>
          <w:szCs w:val="22"/>
        </w:rPr>
        <w:t xml:space="preserve"> del total nacional</w:t>
      </w:r>
      <w:r>
        <w:rPr>
          <w:rFonts w:ascii="Verdana" w:hAnsi="Verdana"/>
          <w:sz w:val="22"/>
          <w:szCs w:val="22"/>
        </w:rPr>
        <w:t>. Le siguen</w:t>
      </w:r>
      <w:r w:rsidR="000F01D3" w:rsidRPr="007315EA">
        <w:rPr>
          <w:rFonts w:ascii="Verdana" w:hAnsi="Verdana"/>
          <w:sz w:val="22"/>
          <w:szCs w:val="22"/>
        </w:rPr>
        <w:t xml:space="preserve"> Cataluña, </w:t>
      </w:r>
      <w:r>
        <w:rPr>
          <w:rFonts w:ascii="Verdana" w:hAnsi="Verdana"/>
          <w:sz w:val="22"/>
          <w:szCs w:val="22"/>
        </w:rPr>
        <w:t xml:space="preserve">con </w:t>
      </w:r>
      <w:r w:rsidR="000F01D3" w:rsidRPr="007315EA">
        <w:rPr>
          <w:rFonts w:ascii="Verdana" w:hAnsi="Verdana"/>
          <w:sz w:val="22"/>
          <w:szCs w:val="22"/>
        </w:rPr>
        <w:t>1.221; Comuni</w:t>
      </w:r>
      <w:r>
        <w:rPr>
          <w:rFonts w:ascii="Verdana" w:hAnsi="Verdana"/>
          <w:sz w:val="22"/>
          <w:szCs w:val="22"/>
        </w:rPr>
        <w:t>dad</w:t>
      </w:r>
      <w:r w:rsidR="000F01D3" w:rsidRPr="007315EA">
        <w:rPr>
          <w:rFonts w:ascii="Verdana" w:hAnsi="Verdana"/>
          <w:sz w:val="22"/>
          <w:szCs w:val="22"/>
        </w:rPr>
        <w:t xml:space="preserve"> Valenciana, </w:t>
      </w:r>
      <w:r>
        <w:rPr>
          <w:rFonts w:ascii="Verdana" w:hAnsi="Verdana"/>
          <w:sz w:val="22"/>
          <w:szCs w:val="22"/>
        </w:rPr>
        <w:t xml:space="preserve">con </w:t>
      </w:r>
      <w:r w:rsidR="000F01D3" w:rsidRPr="007315EA">
        <w:rPr>
          <w:rFonts w:ascii="Verdana" w:hAnsi="Verdana"/>
          <w:sz w:val="22"/>
          <w:szCs w:val="22"/>
        </w:rPr>
        <w:t>1.084</w:t>
      </w:r>
      <w:r>
        <w:rPr>
          <w:rFonts w:ascii="Verdana" w:hAnsi="Verdana"/>
          <w:sz w:val="22"/>
          <w:szCs w:val="22"/>
        </w:rPr>
        <w:t xml:space="preserve"> y</w:t>
      </w:r>
      <w:r w:rsidR="000F01D3" w:rsidRPr="007315EA">
        <w:rPr>
          <w:rFonts w:ascii="Verdana" w:hAnsi="Verdana"/>
          <w:sz w:val="22"/>
          <w:szCs w:val="22"/>
        </w:rPr>
        <w:t xml:space="preserve"> Madrid, </w:t>
      </w:r>
      <w:r>
        <w:rPr>
          <w:rFonts w:ascii="Verdana" w:hAnsi="Verdana"/>
          <w:sz w:val="22"/>
          <w:szCs w:val="22"/>
        </w:rPr>
        <w:t xml:space="preserve">con </w:t>
      </w:r>
      <w:r w:rsidR="000F01D3" w:rsidRPr="007315EA">
        <w:rPr>
          <w:rFonts w:ascii="Verdana" w:hAnsi="Verdana"/>
          <w:sz w:val="22"/>
          <w:szCs w:val="22"/>
        </w:rPr>
        <w:t>613.</w:t>
      </w:r>
    </w:p>
    <w:p w:rsidR="000F01D3" w:rsidRPr="007315EA" w:rsidRDefault="000F01D3" w:rsidP="000F01D3">
      <w:pPr>
        <w:jc w:val="both"/>
        <w:rPr>
          <w:rFonts w:ascii="Verdana" w:hAnsi="Verdana"/>
          <w:sz w:val="22"/>
          <w:szCs w:val="22"/>
        </w:rPr>
      </w:pPr>
    </w:p>
    <w:p w:rsidR="000F01D3" w:rsidRPr="007315EA" w:rsidRDefault="000F01D3" w:rsidP="000F01D3">
      <w:pPr>
        <w:jc w:val="both"/>
        <w:rPr>
          <w:rFonts w:ascii="Verdana" w:hAnsi="Verdana"/>
          <w:sz w:val="22"/>
          <w:szCs w:val="22"/>
        </w:rPr>
      </w:pPr>
      <w:r w:rsidRPr="007315EA">
        <w:rPr>
          <w:noProof/>
        </w:rPr>
        <w:drawing>
          <wp:inline distT="0" distB="0" distL="0" distR="0" wp14:anchorId="23F736A6" wp14:editId="5DF83AD8">
            <wp:extent cx="5400040" cy="2120900"/>
            <wp:effectExtent l="0" t="0" r="0" b="0"/>
            <wp:docPr id="7" name="Gráfico 7">
              <a:extLst xmlns:a="http://schemas.openxmlformats.org/drawingml/2006/main">
                <a:ext uri="{FF2B5EF4-FFF2-40B4-BE49-F238E27FC236}">
                  <a16:creationId xmlns:a16="http://schemas.microsoft.com/office/drawing/2014/main" id="{00000000-0008-0000-0100-0000758C31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F01D3" w:rsidRPr="007315EA" w:rsidRDefault="000F01D3" w:rsidP="000F01D3">
      <w:pPr>
        <w:jc w:val="both"/>
        <w:rPr>
          <w:rFonts w:ascii="Verdana" w:hAnsi="Verdana"/>
          <w:sz w:val="22"/>
          <w:szCs w:val="22"/>
        </w:rPr>
      </w:pPr>
    </w:p>
    <w:p w:rsidR="000F01D3" w:rsidRPr="007315EA" w:rsidRDefault="000F01D3" w:rsidP="000F01D3">
      <w:pPr>
        <w:jc w:val="both"/>
        <w:rPr>
          <w:rFonts w:ascii="Verdana" w:hAnsi="Verdana"/>
          <w:b/>
          <w:sz w:val="22"/>
          <w:szCs w:val="22"/>
        </w:rPr>
      </w:pPr>
      <w:r w:rsidRPr="007315EA">
        <w:rPr>
          <w:rFonts w:ascii="Verdana" w:hAnsi="Verdana"/>
          <w:b/>
          <w:sz w:val="22"/>
          <w:szCs w:val="22"/>
        </w:rPr>
        <w:t>Incremento de</w:t>
      </w:r>
      <w:r w:rsidR="00823E9C">
        <w:rPr>
          <w:rFonts w:ascii="Verdana" w:hAnsi="Verdana"/>
          <w:b/>
          <w:sz w:val="22"/>
          <w:szCs w:val="22"/>
        </w:rPr>
        <w:t xml:space="preserve"> los concursos</w:t>
      </w:r>
      <w:r w:rsidRPr="007315EA">
        <w:rPr>
          <w:rFonts w:ascii="Verdana" w:hAnsi="Verdana"/>
          <w:b/>
          <w:sz w:val="22"/>
          <w:szCs w:val="22"/>
        </w:rPr>
        <w:t xml:space="preserve"> </w:t>
      </w:r>
    </w:p>
    <w:p w:rsidR="000F01D3" w:rsidRPr="007315EA" w:rsidRDefault="000F01D3" w:rsidP="000F01D3">
      <w:pPr>
        <w:jc w:val="both"/>
        <w:rPr>
          <w:rFonts w:ascii="Verdana" w:hAnsi="Verdana"/>
          <w:sz w:val="22"/>
          <w:szCs w:val="22"/>
        </w:rPr>
      </w:pPr>
    </w:p>
    <w:p w:rsidR="000F01D3" w:rsidRPr="007315EA" w:rsidRDefault="000F01D3" w:rsidP="000F01D3">
      <w:pPr>
        <w:jc w:val="both"/>
        <w:rPr>
          <w:rFonts w:ascii="Verdana" w:hAnsi="Verdana"/>
          <w:sz w:val="22"/>
          <w:szCs w:val="22"/>
        </w:rPr>
      </w:pPr>
      <w:r w:rsidRPr="007315EA">
        <w:rPr>
          <w:rFonts w:ascii="Verdana" w:hAnsi="Verdana"/>
          <w:sz w:val="22"/>
          <w:szCs w:val="22"/>
        </w:rPr>
        <w:t>El número de concursos presentados en el cuarto trimestre de 2021, contabilizando los presentados en los Juzgados de lo Mercantil y los de personas físicas registrados en los Juzgados de Primera Instancia y de Primera Instancia e Instrucción</w:t>
      </w:r>
      <w:r w:rsidR="00823E9C">
        <w:rPr>
          <w:rFonts w:ascii="Verdana" w:hAnsi="Verdana"/>
          <w:sz w:val="22"/>
          <w:szCs w:val="22"/>
        </w:rPr>
        <w:t>,</w:t>
      </w:r>
      <w:r w:rsidRPr="007315EA">
        <w:rPr>
          <w:rFonts w:ascii="Verdana" w:hAnsi="Verdana"/>
          <w:sz w:val="22"/>
          <w:szCs w:val="22"/>
        </w:rPr>
        <w:t xml:space="preserve"> </w:t>
      </w:r>
      <w:r w:rsidR="00823E9C">
        <w:rPr>
          <w:rFonts w:ascii="Verdana" w:hAnsi="Verdana"/>
          <w:sz w:val="22"/>
          <w:szCs w:val="22"/>
        </w:rPr>
        <w:t>sumó</w:t>
      </w:r>
      <w:r w:rsidRPr="007315EA">
        <w:rPr>
          <w:rFonts w:ascii="Verdana" w:hAnsi="Verdana"/>
          <w:sz w:val="22"/>
          <w:szCs w:val="22"/>
        </w:rPr>
        <w:t xml:space="preserve"> 4.849, de los que 2.604 correspondieron a personas físicas no empresarios. Esto ha supuesto un incremento </w:t>
      </w:r>
      <w:r w:rsidR="00823E9C">
        <w:rPr>
          <w:rFonts w:ascii="Verdana" w:hAnsi="Verdana"/>
          <w:sz w:val="22"/>
          <w:szCs w:val="22"/>
        </w:rPr>
        <w:t xml:space="preserve">global de los concursos </w:t>
      </w:r>
      <w:r w:rsidRPr="007315EA">
        <w:rPr>
          <w:rFonts w:ascii="Verdana" w:hAnsi="Verdana"/>
          <w:sz w:val="22"/>
          <w:szCs w:val="22"/>
        </w:rPr>
        <w:t>del 7,4</w:t>
      </w:r>
      <w:r w:rsidR="00823E9C">
        <w:rPr>
          <w:rFonts w:ascii="Verdana" w:hAnsi="Verdana"/>
          <w:sz w:val="22"/>
          <w:szCs w:val="22"/>
        </w:rPr>
        <w:t xml:space="preserve"> </w:t>
      </w:r>
      <w:r w:rsidRPr="007315EA">
        <w:rPr>
          <w:rFonts w:ascii="Verdana" w:hAnsi="Verdana"/>
          <w:sz w:val="22"/>
          <w:szCs w:val="22"/>
        </w:rPr>
        <w:t xml:space="preserve">% respecto al mismo trimestre de 2020. </w:t>
      </w:r>
    </w:p>
    <w:p w:rsidR="000F01D3" w:rsidRPr="007315EA" w:rsidRDefault="000F01D3" w:rsidP="000F01D3">
      <w:pPr>
        <w:jc w:val="both"/>
        <w:rPr>
          <w:rFonts w:ascii="Verdana" w:hAnsi="Verdana"/>
          <w:sz w:val="22"/>
          <w:szCs w:val="22"/>
        </w:rPr>
      </w:pPr>
    </w:p>
    <w:p w:rsidR="000F01D3" w:rsidRPr="007315EA" w:rsidRDefault="000F01D3" w:rsidP="000F01D3">
      <w:pPr>
        <w:jc w:val="both"/>
        <w:rPr>
          <w:rFonts w:ascii="Verdana" w:hAnsi="Verdana"/>
          <w:sz w:val="22"/>
          <w:szCs w:val="22"/>
        </w:rPr>
      </w:pPr>
      <w:r w:rsidRPr="007315EA">
        <w:rPr>
          <w:noProof/>
        </w:rPr>
        <w:drawing>
          <wp:inline distT="0" distB="0" distL="0" distR="0" wp14:anchorId="16F667AF" wp14:editId="05F457AE">
            <wp:extent cx="5400040" cy="2431415"/>
            <wp:effectExtent l="0" t="0" r="0" b="6985"/>
            <wp:docPr id="23" name="Gráfico 23">
              <a:extLst xmlns:a="http://schemas.openxmlformats.org/drawingml/2006/main">
                <a:ext uri="{FF2B5EF4-FFF2-40B4-BE49-F238E27FC236}">
                  <a16:creationId xmlns:a16="http://schemas.microsoft.com/office/drawing/2014/main" id="{00000000-0008-0000-0100-0000748C31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F01D3" w:rsidRPr="007315EA" w:rsidRDefault="000F01D3" w:rsidP="000F01D3">
      <w:pPr>
        <w:jc w:val="both"/>
        <w:rPr>
          <w:rFonts w:ascii="Verdana" w:hAnsi="Verdana"/>
          <w:sz w:val="22"/>
          <w:szCs w:val="22"/>
        </w:rPr>
      </w:pPr>
    </w:p>
    <w:p w:rsidR="000F01D3" w:rsidRPr="007315EA" w:rsidRDefault="000F01D3" w:rsidP="000F01D3">
      <w:pPr>
        <w:jc w:val="both"/>
        <w:rPr>
          <w:rFonts w:ascii="Verdana" w:hAnsi="Verdana"/>
          <w:sz w:val="22"/>
          <w:szCs w:val="22"/>
        </w:rPr>
      </w:pPr>
      <w:r w:rsidRPr="007315EA">
        <w:rPr>
          <w:rFonts w:ascii="Verdana" w:hAnsi="Verdana"/>
          <w:sz w:val="22"/>
          <w:szCs w:val="22"/>
        </w:rPr>
        <w:t xml:space="preserve">En los </w:t>
      </w:r>
      <w:r w:rsidR="00EC5E29">
        <w:rPr>
          <w:rFonts w:ascii="Verdana" w:hAnsi="Verdana"/>
          <w:sz w:val="22"/>
          <w:szCs w:val="22"/>
        </w:rPr>
        <w:t>J</w:t>
      </w:r>
      <w:r w:rsidRPr="007315EA">
        <w:rPr>
          <w:rFonts w:ascii="Verdana" w:hAnsi="Verdana"/>
          <w:sz w:val="22"/>
          <w:szCs w:val="22"/>
        </w:rPr>
        <w:t xml:space="preserve">uzgados de lo </w:t>
      </w:r>
      <w:r w:rsidR="00EC5E29">
        <w:rPr>
          <w:rFonts w:ascii="Verdana" w:hAnsi="Verdana"/>
          <w:sz w:val="22"/>
          <w:szCs w:val="22"/>
        </w:rPr>
        <w:t>M</w:t>
      </w:r>
      <w:r w:rsidRPr="007315EA">
        <w:rPr>
          <w:rFonts w:ascii="Verdana" w:hAnsi="Verdana"/>
          <w:sz w:val="22"/>
          <w:szCs w:val="22"/>
        </w:rPr>
        <w:t>ercantil</w:t>
      </w:r>
      <w:r w:rsidR="00EC5E29">
        <w:rPr>
          <w:rFonts w:ascii="Verdana" w:hAnsi="Verdana"/>
          <w:sz w:val="22"/>
          <w:szCs w:val="22"/>
        </w:rPr>
        <w:t xml:space="preserve"> </w:t>
      </w:r>
      <w:r w:rsidRPr="007315EA">
        <w:rPr>
          <w:rFonts w:ascii="Verdana" w:hAnsi="Verdana"/>
          <w:sz w:val="22"/>
          <w:szCs w:val="22"/>
        </w:rPr>
        <w:t xml:space="preserve">se </w:t>
      </w:r>
      <w:r w:rsidR="00EC5E29">
        <w:rPr>
          <w:rFonts w:ascii="Verdana" w:hAnsi="Verdana"/>
          <w:sz w:val="22"/>
          <w:szCs w:val="22"/>
        </w:rPr>
        <w:t>presentaron</w:t>
      </w:r>
      <w:r w:rsidRPr="007315EA">
        <w:rPr>
          <w:rFonts w:ascii="Verdana" w:hAnsi="Verdana"/>
          <w:sz w:val="22"/>
          <w:szCs w:val="22"/>
        </w:rPr>
        <w:t xml:space="preserve"> 2.245 concursos, un 0,3 por ciento menos que en el cuarto trimestr</w:t>
      </w:r>
      <w:r w:rsidR="00EC5E29">
        <w:rPr>
          <w:rFonts w:ascii="Verdana" w:hAnsi="Verdana"/>
          <w:sz w:val="22"/>
          <w:szCs w:val="22"/>
        </w:rPr>
        <w:t>e de 2020. Cataluña ha sido la C</w:t>
      </w:r>
      <w:r w:rsidRPr="007315EA">
        <w:rPr>
          <w:rFonts w:ascii="Verdana" w:hAnsi="Verdana"/>
          <w:sz w:val="22"/>
          <w:szCs w:val="22"/>
        </w:rPr>
        <w:t xml:space="preserve">omunidad </w:t>
      </w:r>
      <w:r w:rsidR="00EC5E29">
        <w:rPr>
          <w:rFonts w:ascii="Verdana" w:hAnsi="Verdana"/>
          <w:sz w:val="22"/>
          <w:szCs w:val="22"/>
        </w:rPr>
        <w:t xml:space="preserve">Autónoma con </w:t>
      </w:r>
      <w:r w:rsidRPr="007315EA">
        <w:rPr>
          <w:rFonts w:ascii="Verdana" w:hAnsi="Verdana"/>
          <w:sz w:val="22"/>
          <w:szCs w:val="22"/>
        </w:rPr>
        <w:t>más concursos e</w:t>
      </w:r>
      <w:r w:rsidR="00EC5E29">
        <w:rPr>
          <w:rFonts w:ascii="Verdana" w:hAnsi="Verdana"/>
          <w:sz w:val="22"/>
          <w:szCs w:val="22"/>
        </w:rPr>
        <w:t>n los Juzgados de lo M</w:t>
      </w:r>
      <w:r w:rsidRPr="007315EA">
        <w:rPr>
          <w:rFonts w:ascii="Verdana" w:hAnsi="Verdana"/>
          <w:sz w:val="22"/>
          <w:szCs w:val="22"/>
        </w:rPr>
        <w:t xml:space="preserve">ercantil: 764, lo que supone el 34 por ciento del total. Le siguieron Madrid, con 390; </w:t>
      </w:r>
      <w:r w:rsidR="00EC5E29">
        <w:rPr>
          <w:rFonts w:ascii="Verdana" w:hAnsi="Verdana"/>
          <w:sz w:val="22"/>
          <w:szCs w:val="22"/>
        </w:rPr>
        <w:t xml:space="preserve">la </w:t>
      </w:r>
      <w:r w:rsidRPr="007315EA">
        <w:rPr>
          <w:rFonts w:ascii="Verdana" w:hAnsi="Verdana"/>
          <w:sz w:val="22"/>
          <w:szCs w:val="22"/>
        </w:rPr>
        <w:t>Comuni</w:t>
      </w:r>
      <w:r w:rsidR="00EC5E29">
        <w:rPr>
          <w:rFonts w:ascii="Verdana" w:hAnsi="Verdana"/>
          <w:sz w:val="22"/>
          <w:szCs w:val="22"/>
        </w:rPr>
        <w:t>dad</w:t>
      </w:r>
      <w:r w:rsidRPr="007315EA">
        <w:rPr>
          <w:rFonts w:ascii="Verdana" w:hAnsi="Verdana"/>
          <w:sz w:val="22"/>
          <w:szCs w:val="22"/>
        </w:rPr>
        <w:t xml:space="preserve"> Valenciana, </w:t>
      </w:r>
      <w:r w:rsidR="00EC5E29">
        <w:rPr>
          <w:rFonts w:ascii="Verdana" w:hAnsi="Verdana"/>
          <w:sz w:val="22"/>
          <w:szCs w:val="22"/>
        </w:rPr>
        <w:t xml:space="preserve">con </w:t>
      </w:r>
      <w:r w:rsidRPr="007315EA">
        <w:rPr>
          <w:rFonts w:ascii="Verdana" w:hAnsi="Verdana"/>
          <w:sz w:val="22"/>
          <w:szCs w:val="22"/>
        </w:rPr>
        <w:t>284; y Andalucía, con 209.</w:t>
      </w:r>
    </w:p>
    <w:p w:rsidR="000F01D3" w:rsidRPr="007315EA" w:rsidRDefault="000F01D3" w:rsidP="000F01D3">
      <w:pPr>
        <w:jc w:val="both"/>
        <w:rPr>
          <w:rFonts w:ascii="Verdana" w:hAnsi="Verdana"/>
          <w:sz w:val="22"/>
          <w:szCs w:val="22"/>
        </w:rPr>
      </w:pPr>
    </w:p>
    <w:p w:rsidR="000F01D3" w:rsidRPr="007315EA" w:rsidRDefault="000F01D3" w:rsidP="000F01D3">
      <w:pPr>
        <w:jc w:val="both"/>
        <w:rPr>
          <w:rFonts w:ascii="Verdana" w:hAnsi="Verdana"/>
          <w:sz w:val="22"/>
          <w:szCs w:val="22"/>
        </w:rPr>
      </w:pPr>
      <w:r w:rsidRPr="007315EA">
        <w:rPr>
          <w:rFonts w:ascii="Verdana" w:hAnsi="Verdana"/>
          <w:sz w:val="22"/>
          <w:szCs w:val="22"/>
        </w:rPr>
        <w:t xml:space="preserve">Respecto a los concursos presentados por personas físicas en los juzgados de primera instancia y primera instancia e instrucción, 2.604, </w:t>
      </w:r>
      <w:r w:rsidR="00454D34">
        <w:rPr>
          <w:rFonts w:ascii="Verdana" w:hAnsi="Verdana"/>
          <w:sz w:val="22"/>
          <w:szCs w:val="22"/>
        </w:rPr>
        <w:t>experimentaron</w:t>
      </w:r>
      <w:r w:rsidRPr="007315EA">
        <w:rPr>
          <w:rFonts w:ascii="Verdana" w:hAnsi="Verdana"/>
          <w:sz w:val="22"/>
          <w:szCs w:val="22"/>
        </w:rPr>
        <w:t xml:space="preserve"> un incremento del 15,1</w:t>
      </w:r>
      <w:r w:rsidR="00454D34">
        <w:rPr>
          <w:rFonts w:ascii="Verdana" w:hAnsi="Verdana"/>
          <w:sz w:val="22"/>
          <w:szCs w:val="22"/>
        </w:rPr>
        <w:t xml:space="preserve"> </w:t>
      </w:r>
      <w:r w:rsidRPr="007315EA">
        <w:rPr>
          <w:rFonts w:ascii="Verdana" w:hAnsi="Verdana"/>
          <w:sz w:val="22"/>
          <w:szCs w:val="22"/>
        </w:rPr>
        <w:t xml:space="preserve">% respecto al cuarto trimestre de 2020. Cataluña también ha sido la Comunidad Autónoma con más concursos </w:t>
      </w:r>
      <w:r w:rsidR="00454D34">
        <w:rPr>
          <w:rFonts w:ascii="Verdana" w:hAnsi="Verdana"/>
          <w:sz w:val="22"/>
          <w:szCs w:val="22"/>
        </w:rPr>
        <w:t xml:space="preserve">de este tipo, </w:t>
      </w:r>
      <w:r w:rsidRPr="007315EA">
        <w:rPr>
          <w:rFonts w:ascii="Verdana" w:hAnsi="Verdana"/>
          <w:sz w:val="22"/>
          <w:szCs w:val="22"/>
        </w:rPr>
        <w:t>655, que representan el 25,2 por ciento del total nacional</w:t>
      </w:r>
      <w:r w:rsidR="00454D34">
        <w:rPr>
          <w:rFonts w:ascii="Verdana" w:hAnsi="Verdana"/>
          <w:sz w:val="22"/>
          <w:szCs w:val="22"/>
        </w:rPr>
        <w:t xml:space="preserve">. </w:t>
      </w:r>
      <w:r w:rsidRPr="007315EA">
        <w:rPr>
          <w:rFonts w:ascii="Verdana" w:hAnsi="Verdana"/>
          <w:sz w:val="22"/>
          <w:szCs w:val="22"/>
        </w:rPr>
        <w:t xml:space="preserve">Le siguieron Madrid, </w:t>
      </w:r>
      <w:r w:rsidR="00454D34">
        <w:rPr>
          <w:rFonts w:ascii="Verdana" w:hAnsi="Verdana"/>
          <w:sz w:val="22"/>
          <w:szCs w:val="22"/>
        </w:rPr>
        <w:t xml:space="preserve">con </w:t>
      </w:r>
      <w:r w:rsidRPr="007315EA">
        <w:rPr>
          <w:rFonts w:ascii="Verdana" w:hAnsi="Verdana"/>
          <w:sz w:val="22"/>
          <w:szCs w:val="22"/>
        </w:rPr>
        <w:t xml:space="preserve">416; Andalucía, </w:t>
      </w:r>
      <w:r w:rsidR="00454D34">
        <w:rPr>
          <w:rFonts w:ascii="Verdana" w:hAnsi="Verdana"/>
          <w:sz w:val="22"/>
          <w:szCs w:val="22"/>
        </w:rPr>
        <w:t>con 327</w:t>
      </w:r>
      <w:r w:rsidRPr="007315EA">
        <w:rPr>
          <w:rFonts w:ascii="Verdana" w:hAnsi="Verdana"/>
          <w:sz w:val="22"/>
          <w:szCs w:val="22"/>
        </w:rPr>
        <w:t xml:space="preserve"> y Comunidad Valenciana, con 320.</w:t>
      </w:r>
    </w:p>
    <w:p w:rsidR="000F01D3" w:rsidRPr="007315EA" w:rsidRDefault="000F01D3" w:rsidP="000F01D3">
      <w:pPr>
        <w:jc w:val="both"/>
        <w:rPr>
          <w:rFonts w:ascii="Verdana" w:hAnsi="Verdana"/>
          <w:sz w:val="22"/>
          <w:szCs w:val="22"/>
        </w:rPr>
      </w:pPr>
    </w:p>
    <w:p w:rsidR="000F01D3" w:rsidRPr="007315EA" w:rsidRDefault="0072522E" w:rsidP="000F01D3">
      <w:pPr>
        <w:jc w:val="both"/>
        <w:rPr>
          <w:rFonts w:ascii="Verdana" w:hAnsi="Verdana"/>
          <w:sz w:val="22"/>
          <w:szCs w:val="22"/>
        </w:rPr>
      </w:pPr>
      <w:r>
        <w:rPr>
          <w:rFonts w:ascii="Verdana" w:hAnsi="Verdana"/>
          <w:sz w:val="22"/>
          <w:szCs w:val="22"/>
        </w:rPr>
        <w:t>L</w:t>
      </w:r>
      <w:r w:rsidR="000F01D3" w:rsidRPr="007315EA">
        <w:rPr>
          <w:rFonts w:ascii="Verdana" w:hAnsi="Verdana"/>
          <w:sz w:val="22"/>
          <w:szCs w:val="22"/>
        </w:rPr>
        <w:t>os siguientes gráficos muestra</w:t>
      </w:r>
      <w:r>
        <w:rPr>
          <w:rFonts w:ascii="Verdana" w:hAnsi="Verdana"/>
          <w:sz w:val="22"/>
          <w:szCs w:val="22"/>
        </w:rPr>
        <w:t>n</w:t>
      </w:r>
      <w:r w:rsidR="000F01D3" w:rsidRPr="007315EA">
        <w:rPr>
          <w:rFonts w:ascii="Verdana" w:hAnsi="Verdana"/>
          <w:sz w:val="22"/>
          <w:szCs w:val="22"/>
        </w:rPr>
        <w:t xml:space="preserve"> el número d</w:t>
      </w:r>
      <w:r w:rsidR="00454D34">
        <w:rPr>
          <w:rFonts w:ascii="Verdana" w:hAnsi="Verdana"/>
          <w:sz w:val="22"/>
          <w:szCs w:val="22"/>
        </w:rPr>
        <w:t xml:space="preserve">e concursos presentados </w:t>
      </w:r>
      <w:r w:rsidR="000F01D3" w:rsidRPr="007315EA">
        <w:rPr>
          <w:rFonts w:ascii="Verdana" w:hAnsi="Verdana"/>
          <w:sz w:val="22"/>
          <w:szCs w:val="22"/>
        </w:rPr>
        <w:t>por cada 100.000 habitantes en los distintos tribunales superiores de justicia.</w:t>
      </w:r>
    </w:p>
    <w:p w:rsidR="000F01D3" w:rsidRPr="007315EA" w:rsidRDefault="000F01D3" w:rsidP="000F01D3">
      <w:pPr>
        <w:jc w:val="both"/>
        <w:rPr>
          <w:rFonts w:ascii="Verdana" w:hAnsi="Verdana"/>
          <w:sz w:val="22"/>
          <w:szCs w:val="22"/>
        </w:rPr>
      </w:pPr>
    </w:p>
    <w:p w:rsidR="000F01D3" w:rsidRPr="007315EA" w:rsidRDefault="000F01D3" w:rsidP="000F01D3">
      <w:pPr>
        <w:jc w:val="both"/>
        <w:rPr>
          <w:rFonts w:ascii="Verdana" w:hAnsi="Verdana"/>
          <w:sz w:val="22"/>
          <w:szCs w:val="22"/>
        </w:rPr>
      </w:pPr>
      <w:r w:rsidRPr="007315EA">
        <w:rPr>
          <w:noProof/>
        </w:rPr>
        <w:drawing>
          <wp:inline distT="0" distB="0" distL="0" distR="0" wp14:anchorId="09D45D0B" wp14:editId="330236A1">
            <wp:extent cx="5400040" cy="2535382"/>
            <wp:effectExtent l="0" t="0" r="10160" b="17780"/>
            <wp:docPr id="5" name="Gráfico 5">
              <a:extLst xmlns:a="http://schemas.openxmlformats.org/drawingml/2006/main">
                <a:ext uri="{FF2B5EF4-FFF2-40B4-BE49-F238E27FC236}">
                  <a16:creationId xmlns:a16="http://schemas.microsoft.com/office/drawing/2014/main" id="{2E593EEB-99AD-4D57-A886-2D4DFDE071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F01D3" w:rsidRPr="007315EA" w:rsidRDefault="000F01D3" w:rsidP="000F01D3">
      <w:pPr>
        <w:jc w:val="both"/>
        <w:rPr>
          <w:rFonts w:ascii="Verdana" w:hAnsi="Verdana"/>
          <w:sz w:val="22"/>
          <w:szCs w:val="22"/>
        </w:rPr>
      </w:pPr>
    </w:p>
    <w:p w:rsidR="000F01D3" w:rsidRPr="007315EA" w:rsidRDefault="000F01D3" w:rsidP="000F01D3">
      <w:pPr>
        <w:jc w:val="both"/>
        <w:rPr>
          <w:rFonts w:ascii="Verdana" w:hAnsi="Verdana"/>
          <w:sz w:val="22"/>
          <w:szCs w:val="22"/>
        </w:rPr>
      </w:pPr>
      <w:r w:rsidRPr="007315EA">
        <w:rPr>
          <w:noProof/>
        </w:rPr>
        <w:drawing>
          <wp:inline distT="0" distB="0" distL="0" distR="0" wp14:anchorId="76F68AD6" wp14:editId="6B393777">
            <wp:extent cx="5400040" cy="2570018"/>
            <wp:effectExtent l="0" t="0" r="10160" b="1905"/>
            <wp:docPr id="8" name="Gráfico 8">
              <a:extLst xmlns:a="http://schemas.openxmlformats.org/drawingml/2006/main">
                <a:ext uri="{FF2B5EF4-FFF2-40B4-BE49-F238E27FC236}">
                  <a16:creationId xmlns:a16="http://schemas.microsoft.com/office/drawing/2014/main" id="{9797BC96-E76C-49E1-A17E-76DA9B950F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F01D3" w:rsidRPr="007315EA" w:rsidRDefault="000F01D3" w:rsidP="000F01D3">
      <w:pPr>
        <w:jc w:val="both"/>
        <w:rPr>
          <w:rFonts w:ascii="Verdana" w:hAnsi="Verdana"/>
          <w:sz w:val="22"/>
          <w:szCs w:val="22"/>
        </w:rPr>
      </w:pPr>
      <w:r w:rsidRPr="007315EA">
        <w:rPr>
          <w:rFonts w:ascii="Verdana" w:hAnsi="Verdana"/>
          <w:sz w:val="22"/>
          <w:szCs w:val="22"/>
        </w:rPr>
        <w:t>El número de concursos declarados en el cuarto trimestre de 2021 en los Juzgados de lo Mercantil fue de 1.381, con un incremento del 5,9 por ciento respecto al mismo periodo del año anterior. A esta cifra se añaden los 762 concursos declarados y concluidos al amparo del artículo 176 bis 4 de la Ley Concursal.</w:t>
      </w:r>
    </w:p>
    <w:p w:rsidR="000F01D3" w:rsidRPr="007315EA" w:rsidRDefault="000F01D3" w:rsidP="000F01D3">
      <w:pPr>
        <w:jc w:val="both"/>
        <w:rPr>
          <w:rFonts w:ascii="Verdana" w:hAnsi="Verdana"/>
          <w:sz w:val="22"/>
          <w:szCs w:val="22"/>
        </w:rPr>
      </w:pPr>
    </w:p>
    <w:p w:rsidR="000F01D3" w:rsidRPr="007315EA" w:rsidRDefault="000F01D3" w:rsidP="000F01D3">
      <w:pPr>
        <w:jc w:val="both"/>
        <w:rPr>
          <w:rFonts w:ascii="Verdana" w:hAnsi="Verdana"/>
          <w:sz w:val="22"/>
          <w:szCs w:val="22"/>
        </w:rPr>
      </w:pPr>
      <w:r w:rsidRPr="007315EA">
        <w:rPr>
          <w:rFonts w:ascii="Verdana" w:hAnsi="Verdana"/>
          <w:sz w:val="22"/>
          <w:szCs w:val="22"/>
        </w:rPr>
        <w:t>En el mismo trimestre llegaron a la fase de convenio un total de 1</w:t>
      </w:r>
      <w:r w:rsidR="000E1B11">
        <w:rPr>
          <w:rFonts w:ascii="Verdana" w:hAnsi="Verdana"/>
          <w:sz w:val="22"/>
          <w:szCs w:val="22"/>
        </w:rPr>
        <w:t>03</w:t>
      </w:r>
      <w:r w:rsidRPr="007315EA">
        <w:rPr>
          <w:rFonts w:ascii="Verdana" w:hAnsi="Verdana"/>
          <w:sz w:val="22"/>
          <w:szCs w:val="22"/>
        </w:rPr>
        <w:t xml:space="preserve"> concursos, mientras que iniciaron la fase de liquidación 762, un 8,7 por ciento menos que en el mismo trimestre de 2020.</w:t>
      </w:r>
    </w:p>
    <w:p w:rsidR="000F01D3" w:rsidRPr="007315EA" w:rsidRDefault="000F01D3" w:rsidP="000F01D3">
      <w:pPr>
        <w:jc w:val="both"/>
        <w:rPr>
          <w:rFonts w:ascii="Verdana" w:hAnsi="Verdana"/>
          <w:sz w:val="22"/>
          <w:szCs w:val="22"/>
        </w:rPr>
      </w:pPr>
    </w:p>
    <w:p w:rsidR="000F01D3" w:rsidRPr="007315EA" w:rsidRDefault="000F01D3" w:rsidP="000F01D3">
      <w:pPr>
        <w:jc w:val="both"/>
        <w:rPr>
          <w:rFonts w:ascii="Verdana" w:hAnsi="Verdana"/>
          <w:sz w:val="22"/>
          <w:szCs w:val="22"/>
        </w:rPr>
      </w:pPr>
      <w:r w:rsidRPr="007315EA">
        <w:rPr>
          <w:rFonts w:ascii="Verdana" w:hAnsi="Verdana"/>
          <w:sz w:val="22"/>
          <w:szCs w:val="22"/>
        </w:rPr>
        <w:t>Respecto a los expedientes del artículo 64 de la Ley Concursal, relativo a la modificación sustancial de las condiciones de trabajo de carácter colectivo (ERE), se presenta</w:t>
      </w:r>
      <w:r w:rsidR="000E1B11">
        <w:rPr>
          <w:rFonts w:ascii="Verdana" w:hAnsi="Verdana"/>
          <w:sz w:val="22"/>
          <w:szCs w:val="22"/>
        </w:rPr>
        <w:t>ron</w:t>
      </w:r>
      <w:r w:rsidRPr="007315EA">
        <w:rPr>
          <w:rFonts w:ascii="Verdana" w:hAnsi="Verdana"/>
          <w:sz w:val="22"/>
          <w:szCs w:val="22"/>
        </w:rPr>
        <w:t xml:space="preserve"> 100 expedientes</w:t>
      </w:r>
      <w:r w:rsidR="000E1B11">
        <w:rPr>
          <w:rFonts w:ascii="Verdana" w:hAnsi="Verdana"/>
          <w:sz w:val="22"/>
          <w:szCs w:val="22"/>
        </w:rPr>
        <w:t xml:space="preserve"> durante el cuarto trimestre de 2021</w:t>
      </w:r>
      <w:r w:rsidRPr="007315EA">
        <w:rPr>
          <w:rFonts w:ascii="Verdana" w:hAnsi="Verdana"/>
          <w:sz w:val="22"/>
          <w:szCs w:val="22"/>
        </w:rPr>
        <w:t>, un 30,1 por ciento menos que en el mismo trimestre del año anterior.</w:t>
      </w:r>
    </w:p>
    <w:p w:rsidR="000F01D3" w:rsidRPr="007315EA" w:rsidRDefault="000F01D3" w:rsidP="000F01D3">
      <w:pPr>
        <w:jc w:val="both"/>
        <w:rPr>
          <w:rFonts w:ascii="Verdana" w:hAnsi="Verdana"/>
          <w:sz w:val="22"/>
          <w:szCs w:val="22"/>
        </w:rPr>
      </w:pPr>
    </w:p>
    <w:p w:rsidR="000F01D3" w:rsidRPr="007315EA" w:rsidRDefault="00CC4AC0" w:rsidP="000F01D3">
      <w:pPr>
        <w:jc w:val="both"/>
        <w:rPr>
          <w:rFonts w:ascii="Verdana" w:hAnsi="Verdana"/>
          <w:b/>
          <w:sz w:val="22"/>
          <w:szCs w:val="22"/>
        </w:rPr>
      </w:pPr>
      <w:r>
        <w:rPr>
          <w:rFonts w:ascii="Verdana" w:hAnsi="Verdana"/>
          <w:b/>
          <w:sz w:val="22"/>
          <w:szCs w:val="22"/>
        </w:rPr>
        <w:t>Menor número de demandas por despido</w:t>
      </w:r>
    </w:p>
    <w:p w:rsidR="000F01D3" w:rsidRPr="007315EA" w:rsidRDefault="000F01D3" w:rsidP="000F01D3">
      <w:pPr>
        <w:jc w:val="both"/>
        <w:rPr>
          <w:rFonts w:ascii="Verdana" w:hAnsi="Verdana"/>
          <w:sz w:val="22"/>
          <w:szCs w:val="22"/>
        </w:rPr>
      </w:pPr>
    </w:p>
    <w:p w:rsidR="00BC59A9" w:rsidRDefault="000F01D3" w:rsidP="000F01D3">
      <w:pPr>
        <w:jc w:val="both"/>
        <w:rPr>
          <w:rFonts w:ascii="Verdana" w:hAnsi="Verdana"/>
          <w:sz w:val="22"/>
          <w:szCs w:val="22"/>
        </w:rPr>
      </w:pPr>
      <w:r w:rsidRPr="007315EA">
        <w:rPr>
          <w:rFonts w:ascii="Verdana" w:hAnsi="Verdana"/>
          <w:sz w:val="22"/>
          <w:szCs w:val="22"/>
        </w:rPr>
        <w:t>En el cuarto trimestre de 2021</w:t>
      </w:r>
      <w:r w:rsidR="00437C72">
        <w:rPr>
          <w:rFonts w:ascii="Verdana" w:hAnsi="Verdana"/>
          <w:sz w:val="22"/>
          <w:szCs w:val="22"/>
        </w:rPr>
        <w:t>,</w:t>
      </w:r>
      <w:r w:rsidRPr="007315EA">
        <w:rPr>
          <w:rFonts w:ascii="Verdana" w:hAnsi="Verdana"/>
          <w:sz w:val="22"/>
          <w:szCs w:val="22"/>
        </w:rPr>
        <w:t xml:space="preserve"> se </w:t>
      </w:r>
      <w:r w:rsidR="00437C72">
        <w:rPr>
          <w:rFonts w:ascii="Verdana" w:hAnsi="Verdana"/>
          <w:sz w:val="22"/>
          <w:szCs w:val="22"/>
        </w:rPr>
        <w:t>p</w:t>
      </w:r>
      <w:r w:rsidRPr="007315EA">
        <w:rPr>
          <w:rFonts w:ascii="Verdana" w:hAnsi="Verdana"/>
          <w:sz w:val="22"/>
          <w:szCs w:val="22"/>
        </w:rPr>
        <w:t>resenta</w:t>
      </w:r>
      <w:r w:rsidR="00437C72">
        <w:rPr>
          <w:rFonts w:ascii="Verdana" w:hAnsi="Verdana"/>
          <w:sz w:val="22"/>
          <w:szCs w:val="22"/>
        </w:rPr>
        <w:t>ron</w:t>
      </w:r>
      <w:r w:rsidRPr="007315EA">
        <w:rPr>
          <w:rFonts w:ascii="Verdana" w:hAnsi="Verdana"/>
          <w:sz w:val="22"/>
          <w:szCs w:val="22"/>
        </w:rPr>
        <w:t xml:space="preserve"> 28.219 demandas por despido, un 5,1 por ciento menos que en el mismo trimestre de 2020.</w:t>
      </w:r>
    </w:p>
    <w:p w:rsidR="00BC59A9" w:rsidRDefault="00BC59A9" w:rsidP="000F01D3">
      <w:pPr>
        <w:jc w:val="both"/>
        <w:rPr>
          <w:rFonts w:ascii="Verdana" w:hAnsi="Verdana"/>
          <w:sz w:val="22"/>
          <w:szCs w:val="22"/>
        </w:rPr>
      </w:pPr>
    </w:p>
    <w:p w:rsidR="000F01D3" w:rsidRPr="007315EA" w:rsidRDefault="000F01D3" w:rsidP="000F01D3">
      <w:pPr>
        <w:jc w:val="both"/>
        <w:rPr>
          <w:rFonts w:ascii="Verdana" w:hAnsi="Verdana"/>
          <w:sz w:val="22"/>
          <w:szCs w:val="22"/>
        </w:rPr>
      </w:pPr>
      <w:r w:rsidRPr="007315EA">
        <w:rPr>
          <w:rFonts w:ascii="Verdana" w:hAnsi="Verdana"/>
          <w:sz w:val="22"/>
          <w:szCs w:val="22"/>
        </w:rPr>
        <w:t>Madrid, con 5.918</w:t>
      </w:r>
      <w:r w:rsidR="00437C72">
        <w:rPr>
          <w:rFonts w:ascii="Verdana" w:hAnsi="Verdana"/>
          <w:sz w:val="22"/>
          <w:szCs w:val="22"/>
        </w:rPr>
        <w:t xml:space="preserve"> (</w:t>
      </w:r>
      <w:r w:rsidRPr="007315EA">
        <w:rPr>
          <w:rFonts w:ascii="Verdana" w:hAnsi="Verdana"/>
          <w:sz w:val="22"/>
          <w:szCs w:val="22"/>
        </w:rPr>
        <w:t>el 21 por ciento del total nacional</w:t>
      </w:r>
      <w:r w:rsidR="00437C72">
        <w:rPr>
          <w:rFonts w:ascii="Verdana" w:hAnsi="Verdana"/>
          <w:sz w:val="22"/>
          <w:szCs w:val="22"/>
        </w:rPr>
        <w:t>)</w:t>
      </w:r>
      <w:r w:rsidRPr="007315EA">
        <w:rPr>
          <w:rFonts w:ascii="Verdana" w:hAnsi="Verdana"/>
          <w:sz w:val="22"/>
          <w:szCs w:val="22"/>
        </w:rPr>
        <w:t xml:space="preserve"> y Cataluña, con 5.329, han sido l</w:t>
      </w:r>
      <w:r w:rsidR="00437C72">
        <w:rPr>
          <w:rFonts w:ascii="Verdana" w:hAnsi="Verdana"/>
          <w:sz w:val="22"/>
          <w:szCs w:val="22"/>
        </w:rPr>
        <w:t>os territorios</w:t>
      </w:r>
      <w:r w:rsidRPr="007315EA">
        <w:rPr>
          <w:rFonts w:ascii="Verdana" w:hAnsi="Verdana"/>
          <w:sz w:val="22"/>
          <w:szCs w:val="22"/>
        </w:rPr>
        <w:t xml:space="preserve"> en l</w:t>
      </w:r>
      <w:r w:rsidR="00437C72">
        <w:rPr>
          <w:rFonts w:ascii="Verdana" w:hAnsi="Verdana"/>
          <w:sz w:val="22"/>
          <w:szCs w:val="22"/>
        </w:rPr>
        <w:t>o</w:t>
      </w:r>
      <w:r w:rsidRPr="007315EA">
        <w:rPr>
          <w:rFonts w:ascii="Verdana" w:hAnsi="Verdana"/>
          <w:sz w:val="22"/>
          <w:szCs w:val="22"/>
        </w:rPr>
        <w:t>s que se presentaron más demandas de este tipo. Le</w:t>
      </w:r>
      <w:r w:rsidR="00437C72">
        <w:rPr>
          <w:rFonts w:ascii="Verdana" w:hAnsi="Verdana"/>
          <w:sz w:val="22"/>
          <w:szCs w:val="22"/>
        </w:rPr>
        <w:t xml:space="preserve">s siguen Andalucía, con 4.086 </w:t>
      </w:r>
      <w:r w:rsidRPr="007315EA">
        <w:rPr>
          <w:rFonts w:ascii="Verdana" w:hAnsi="Verdana"/>
          <w:sz w:val="22"/>
          <w:szCs w:val="22"/>
        </w:rPr>
        <w:t>y la Comunidad Valenciana, con 3.092.</w:t>
      </w:r>
    </w:p>
    <w:p w:rsidR="000F01D3" w:rsidRPr="007315EA" w:rsidRDefault="000F01D3" w:rsidP="000F01D3">
      <w:pPr>
        <w:jc w:val="both"/>
        <w:rPr>
          <w:rFonts w:ascii="Verdana" w:hAnsi="Verdana"/>
          <w:sz w:val="22"/>
          <w:szCs w:val="22"/>
        </w:rPr>
      </w:pPr>
    </w:p>
    <w:p w:rsidR="000F01D3" w:rsidRPr="007315EA" w:rsidRDefault="000F01D3" w:rsidP="000F01D3">
      <w:pPr>
        <w:jc w:val="both"/>
        <w:rPr>
          <w:rFonts w:ascii="Verdana" w:hAnsi="Verdana"/>
          <w:sz w:val="22"/>
          <w:szCs w:val="22"/>
        </w:rPr>
      </w:pPr>
      <w:r w:rsidRPr="007315EA">
        <w:rPr>
          <w:rFonts w:ascii="Verdana" w:hAnsi="Verdana"/>
          <w:sz w:val="22"/>
          <w:szCs w:val="22"/>
        </w:rPr>
        <w:t xml:space="preserve">El número de demandas por reclamaciones de cantidad registradas en los Juzgados de lo Social, 30.377, ha sido un 4,9 </w:t>
      </w:r>
      <w:r w:rsidR="00A25BBF">
        <w:rPr>
          <w:rFonts w:ascii="Verdana" w:hAnsi="Verdana"/>
          <w:sz w:val="22"/>
          <w:szCs w:val="22"/>
        </w:rPr>
        <w:t>%</w:t>
      </w:r>
      <w:r w:rsidRPr="007315EA">
        <w:rPr>
          <w:rFonts w:ascii="Verdana" w:hAnsi="Verdana"/>
          <w:sz w:val="22"/>
          <w:szCs w:val="22"/>
        </w:rPr>
        <w:t xml:space="preserve"> inferior a las presentadas en el cuarto trimestre de 2020. De ellas, 5.608 se presentaron en Madrid, el 18,5 por cien</w:t>
      </w:r>
      <w:r w:rsidR="00A25BBF">
        <w:rPr>
          <w:rFonts w:ascii="Verdana" w:hAnsi="Verdana"/>
          <w:sz w:val="22"/>
          <w:szCs w:val="22"/>
        </w:rPr>
        <w:t>to</w:t>
      </w:r>
      <w:r w:rsidRPr="007315EA">
        <w:rPr>
          <w:rFonts w:ascii="Verdana" w:hAnsi="Verdana"/>
          <w:sz w:val="22"/>
          <w:szCs w:val="22"/>
        </w:rPr>
        <w:t xml:space="preserve"> del total; 4.942</w:t>
      </w:r>
      <w:r w:rsidR="00A25BBF">
        <w:rPr>
          <w:rFonts w:ascii="Verdana" w:hAnsi="Verdana"/>
          <w:sz w:val="22"/>
          <w:szCs w:val="22"/>
        </w:rPr>
        <w:t>,</w:t>
      </w:r>
      <w:r w:rsidRPr="007315EA">
        <w:rPr>
          <w:rFonts w:ascii="Verdana" w:hAnsi="Verdana"/>
          <w:sz w:val="22"/>
          <w:szCs w:val="22"/>
        </w:rPr>
        <w:t xml:space="preserve"> en Andalucía y 3.697</w:t>
      </w:r>
      <w:r w:rsidR="00A25BBF">
        <w:rPr>
          <w:rFonts w:ascii="Verdana" w:hAnsi="Verdana"/>
          <w:sz w:val="22"/>
          <w:szCs w:val="22"/>
        </w:rPr>
        <w:t>,</w:t>
      </w:r>
      <w:r w:rsidRPr="007315EA">
        <w:rPr>
          <w:rFonts w:ascii="Verdana" w:hAnsi="Verdana"/>
          <w:sz w:val="22"/>
          <w:szCs w:val="22"/>
        </w:rPr>
        <w:t xml:space="preserve"> en Cataluña.</w:t>
      </w:r>
    </w:p>
    <w:p w:rsidR="000F01D3" w:rsidRPr="007315EA" w:rsidRDefault="000F01D3" w:rsidP="000F01D3">
      <w:pPr>
        <w:jc w:val="both"/>
        <w:rPr>
          <w:rFonts w:ascii="Verdana" w:hAnsi="Verdana"/>
          <w:sz w:val="22"/>
          <w:szCs w:val="22"/>
        </w:rPr>
      </w:pPr>
    </w:p>
    <w:p w:rsidR="000F01D3" w:rsidRPr="007315EA" w:rsidRDefault="000F01D3" w:rsidP="000F01D3">
      <w:pPr>
        <w:jc w:val="both"/>
        <w:rPr>
          <w:rFonts w:ascii="Verdana" w:hAnsi="Verdana"/>
          <w:sz w:val="22"/>
          <w:szCs w:val="22"/>
        </w:rPr>
      </w:pPr>
    </w:p>
    <w:p w:rsidR="000F01D3" w:rsidRPr="007315EA" w:rsidRDefault="000F01D3" w:rsidP="000F01D3">
      <w:pPr>
        <w:jc w:val="center"/>
        <w:rPr>
          <w:rFonts w:ascii="Verdana" w:hAnsi="Verdana"/>
          <w:sz w:val="22"/>
          <w:szCs w:val="22"/>
        </w:rPr>
      </w:pPr>
      <w:r w:rsidRPr="007315EA">
        <w:rPr>
          <w:noProof/>
        </w:rPr>
        <w:drawing>
          <wp:inline distT="0" distB="0" distL="0" distR="0" wp14:anchorId="0D11B6A9" wp14:editId="7B99308E">
            <wp:extent cx="5400040" cy="2673927"/>
            <wp:effectExtent l="0" t="0" r="10160" b="12700"/>
            <wp:docPr id="10" name="Gráfico 10">
              <a:extLst xmlns:a="http://schemas.openxmlformats.org/drawingml/2006/main">
                <a:ext uri="{FF2B5EF4-FFF2-40B4-BE49-F238E27FC236}">
                  <a16:creationId xmlns:a16="http://schemas.microsoft.com/office/drawing/2014/main" id="{00000000-0008-0000-0100-0000738C31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F01D3" w:rsidRPr="007315EA" w:rsidRDefault="000F01D3" w:rsidP="000F01D3">
      <w:pPr>
        <w:jc w:val="both"/>
        <w:rPr>
          <w:rFonts w:ascii="Verdana" w:hAnsi="Verdana"/>
          <w:b/>
          <w:sz w:val="22"/>
          <w:szCs w:val="22"/>
        </w:rPr>
      </w:pPr>
    </w:p>
    <w:p w:rsidR="000F01D3" w:rsidRPr="007315EA" w:rsidRDefault="00BC59A9" w:rsidP="000F01D3">
      <w:pPr>
        <w:jc w:val="both"/>
        <w:rPr>
          <w:rFonts w:ascii="Verdana" w:hAnsi="Verdana"/>
          <w:sz w:val="22"/>
          <w:szCs w:val="22"/>
        </w:rPr>
      </w:pPr>
      <w:r>
        <w:rPr>
          <w:rFonts w:ascii="Verdana" w:hAnsi="Verdana"/>
          <w:sz w:val="22"/>
          <w:szCs w:val="22"/>
        </w:rPr>
        <w:t>Los siguientes gráficos muestran e</w:t>
      </w:r>
      <w:r w:rsidR="000F01D3" w:rsidRPr="007315EA">
        <w:rPr>
          <w:rFonts w:ascii="Verdana" w:hAnsi="Verdana"/>
          <w:sz w:val="22"/>
          <w:szCs w:val="22"/>
        </w:rPr>
        <w:t xml:space="preserve">l número de demandas </w:t>
      </w:r>
      <w:r>
        <w:rPr>
          <w:rFonts w:ascii="Verdana" w:hAnsi="Verdana"/>
          <w:sz w:val="22"/>
          <w:szCs w:val="22"/>
        </w:rPr>
        <w:t>por</w:t>
      </w:r>
      <w:r w:rsidR="000F01D3" w:rsidRPr="007315EA">
        <w:rPr>
          <w:rFonts w:ascii="Verdana" w:hAnsi="Verdana"/>
          <w:sz w:val="22"/>
          <w:szCs w:val="22"/>
        </w:rPr>
        <w:t xml:space="preserve"> despido y </w:t>
      </w:r>
      <w:r>
        <w:rPr>
          <w:rFonts w:ascii="Verdana" w:hAnsi="Verdana"/>
          <w:sz w:val="22"/>
          <w:szCs w:val="22"/>
        </w:rPr>
        <w:t xml:space="preserve">por </w:t>
      </w:r>
      <w:r w:rsidR="000F01D3" w:rsidRPr="007315EA">
        <w:rPr>
          <w:rFonts w:ascii="Verdana" w:hAnsi="Verdana"/>
          <w:sz w:val="22"/>
          <w:szCs w:val="22"/>
        </w:rPr>
        <w:t>reclamación de cantidad por cada 100.000 habitantes:</w:t>
      </w:r>
    </w:p>
    <w:p w:rsidR="000F01D3" w:rsidRPr="007315EA" w:rsidRDefault="000F01D3" w:rsidP="000F01D3">
      <w:pPr>
        <w:jc w:val="both"/>
        <w:rPr>
          <w:rFonts w:ascii="Verdana" w:hAnsi="Verdana"/>
          <w:b/>
          <w:sz w:val="22"/>
          <w:szCs w:val="22"/>
        </w:rPr>
      </w:pPr>
    </w:p>
    <w:p w:rsidR="000F01D3" w:rsidRPr="007315EA" w:rsidRDefault="000F01D3" w:rsidP="000F01D3">
      <w:pPr>
        <w:jc w:val="both"/>
        <w:rPr>
          <w:rFonts w:ascii="Verdana" w:hAnsi="Verdana"/>
          <w:b/>
          <w:sz w:val="22"/>
          <w:szCs w:val="22"/>
        </w:rPr>
      </w:pPr>
      <w:r w:rsidRPr="007315EA">
        <w:rPr>
          <w:noProof/>
        </w:rPr>
        <w:drawing>
          <wp:inline distT="0" distB="0" distL="0" distR="0" wp14:anchorId="3EE8BC82" wp14:editId="0194AA10">
            <wp:extent cx="5400040" cy="2720975"/>
            <wp:effectExtent l="0" t="0" r="10160" b="3175"/>
            <wp:docPr id="6" name="Gráfico 6">
              <a:extLst xmlns:a="http://schemas.openxmlformats.org/drawingml/2006/main">
                <a:ext uri="{FF2B5EF4-FFF2-40B4-BE49-F238E27FC236}">
                  <a16:creationId xmlns:a16="http://schemas.microsoft.com/office/drawing/2014/main" id="{B8AA7941-61C7-4A0C-A715-161B5F6B10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F01D3" w:rsidRPr="007315EA" w:rsidRDefault="000F01D3" w:rsidP="000F01D3">
      <w:pPr>
        <w:jc w:val="both"/>
        <w:rPr>
          <w:rFonts w:ascii="Verdana" w:hAnsi="Verdana"/>
          <w:b/>
          <w:sz w:val="22"/>
          <w:szCs w:val="22"/>
        </w:rPr>
      </w:pPr>
    </w:p>
    <w:p w:rsidR="000F01D3" w:rsidRPr="007315EA" w:rsidRDefault="000F01D3" w:rsidP="000F01D3">
      <w:pPr>
        <w:jc w:val="both"/>
        <w:rPr>
          <w:rFonts w:ascii="Verdana" w:hAnsi="Verdana"/>
          <w:b/>
          <w:sz w:val="22"/>
          <w:szCs w:val="22"/>
        </w:rPr>
      </w:pPr>
    </w:p>
    <w:p w:rsidR="000F01D3" w:rsidRPr="007315EA" w:rsidRDefault="000F01D3" w:rsidP="000F01D3">
      <w:pPr>
        <w:jc w:val="both"/>
        <w:rPr>
          <w:rFonts w:ascii="Verdana" w:hAnsi="Verdana"/>
          <w:b/>
          <w:sz w:val="22"/>
          <w:szCs w:val="22"/>
        </w:rPr>
      </w:pPr>
      <w:r w:rsidRPr="007315EA">
        <w:rPr>
          <w:noProof/>
        </w:rPr>
        <w:drawing>
          <wp:inline distT="0" distB="0" distL="0" distR="0" wp14:anchorId="3F4CCB54" wp14:editId="0021331B">
            <wp:extent cx="5400040" cy="2784475"/>
            <wp:effectExtent l="0" t="0" r="10160" b="15875"/>
            <wp:docPr id="9" name="Gráfico 9">
              <a:extLst xmlns:a="http://schemas.openxmlformats.org/drawingml/2006/main">
                <a:ext uri="{FF2B5EF4-FFF2-40B4-BE49-F238E27FC236}">
                  <a16:creationId xmlns:a16="http://schemas.microsoft.com/office/drawing/2014/main" id="{F7A83F79-4F51-46E6-B625-A29D549D5D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F01D3" w:rsidRPr="007315EA" w:rsidRDefault="000F01D3" w:rsidP="000F01D3">
      <w:pPr>
        <w:jc w:val="both"/>
        <w:rPr>
          <w:rFonts w:ascii="Verdana" w:hAnsi="Verdana"/>
          <w:b/>
          <w:sz w:val="22"/>
          <w:szCs w:val="22"/>
        </w:rPr>
      </w:pPr>
    </w:p>
    <w:p w:rsidR="000F01D3" w:rsidRPr="007315EA" w:rsidRDefault="000F01D3" w:rsidP="000F01D3">
      <w:pPr>
        <w:jc w:val="both"/>
        <w:rPr>
          <w:rFonts w:ascii="Verdana" w:hAnsi="Verdana"/>
          <w:b/>
          <w:sz w:val="22"/>
          <w:szCs w:val="22"/>
        </w:rPr>
      </w:pPr>
    </w:p>
    <w:p w:rsidR="000F01D3" w:rsidRPr="007315EA" w:rsidRDefault="000F01D3" w:rsidP="000F01D3">
      <w:pPr>
        <w:jc w:val="both"/>
        <w:rPr>
          <w:rFonts w:ascii="Verdana" w:hAnsi="Verdana"/>
          <w:b/>
          <w:sz w:val="22"/>
          <w:szCs w:val="22"/>
        </w:rPr>
      </w:pPr>
      <w:r w:rsidRPr="007315EA">
        <w:rPr>
          <w:rFonts w:ascii="Verdana" w:hAnsi="Verdana"/>
          <w:b/>
          <w:sz w:val="22"/>
          <w:szCs w:val="22"/>
        </w:rPr>
        <w:t>Los procedimientos monitorios disminuyen un 6,4 por ciento</w:t>
      </w:r>
    </w:p>
    <w:p w:rsidR="000F01D3" w:rsidRPr="007315EA" w:rsidRDefault="000F01D3" w:rsidP="000F01D3">
      <w:pPr>
        <w:jc w:val="both"/>
        <w:rPr>
          <w:rFonts w:ascii="Verdana" w:hAnsi="Verdana"/>
          <w:sz w:val="22"/>
          <w:szCs w:val="22"/>
        </w:rPr>
      </w:pPr>
    </w:p>
    <w:p w:rsidR="000F01D3" w:rsidRPr="007315EA" w:rsidRDefault="000F01D3" w:rsidP="000F01D3">
      <w:pPr>
        <w:jc w:val="both"/>
        <w:rPr>
          <w:rFonts w:ascii="Verdana" w:hAnsi="Verdana"/>
          <w:sz w:val="22"/>
          <w:szCs w:val="22"/>
        </w:rPr>
      </w:pPr>
      <w:r w:rsidRPr="007315EA">
        <w:rPr>
          <w:rFonts w:ascii="Verdana" w:hAnsi="Verdana"/>
          <w:sz w:val="22"/>
          <w:szCs w:val="22"/>
        </w:rPr>
        <w:t>Los procedimientos monitorios presentados en el cuarto trimestre de 202</w:t>
      </w:r>
      <w:r w:rsidR="00BC59A9">
        <w:rPr>
          <w:rFonts w:ascii="Verdana" w:hAnsi="Verdana"/>
          <w:sz w:val="22"/>
          <w:szCs w:val="22"/>
        </w:rPr>
        <w:t>1</w:t>
      </w:r>
      <w:r w:rsidRPr="007315EA">
        <w:rPr>
          <w:rFonts w:ascii="Verdana" w:hAnsi="Verdana"/>
          <w:sz w:val="22"/>
          <w:szCs w:val="22"/>
        </w:rPr>
        <w:t xml:space="preserve"> en los Juzgados de Primera Instancia y de Primera Instancia e Instrucción fueron 225.536, lo que supone una disminución interanual del 6,4 por ciento. La mayor utilización de este tipo de procedimiento se ha dado en Cataluña, </w:t>
      </w:r>
      <w:r w:rsidR="00BC59A9">
        <w:rPr>
          <w:rFonts w:ascii="Verdana" w:hAnsi="Verdana"/>
          <w:sz w:val="22"/>
          <w:szCs w:val="22"/>
        </w:rPr>
        <w:t xml:space="preserve">con </w:t>
      </w:r>
      <w:r w:rsidRPr="007315EA">
        <w:rPr>
          <w:rFonts w:ascii="Verdana" w:hAnsi="Verdana"/>
          <w:sz w:val="22"/>
          <w:szCs w:val="22"/>
        </w:rPr>
        <w:t xml:space="preserve">40.893, seguida de Madrid, </w:t>
      </w:r>
      <w:r w:rsidR="00BC59A9">
        <w:rPr>
          <w:rFonts w:ascii="Verdana" w:hAnsi="Verdana"/>
          <w:sz w:val="22"/>
          <w:szCs w:val="22"/>
        </w:rPr>
        <w:t xml:space="preserve">con </w:t>
      </w:r>
      <w:r w:rsidRPr="007315EA">
        <w:rPr>
          <w:rFonts w:ascii="Verdana" w:hAnsi="Verdana"/>
          <w:sz w:val="22"/>
          <w:szCs w:val="22"/>
        </w:rPr>
        <w:t>39.</w:t>
      </w:r>
      <w:r w:rsidR="00BC59A9">
        <w:rPr>
          <w:rFonts w:ascii="Verdana" w:hAnsi="Verdana"/>
          <w:sz w:val="22"/>
          <w:szCs w:val="22"/>
        </w:rPr>
        <w:t>163;</w:t>
      </w:r>
      <w:r w:rsidRPr="007315EA">
        <w:rPr>
          <w:rFonts w:ascii="Verdana" w:hAnsi="Verdana"/>
          <w:sz w:val="22"/>
          <w:szCs w:val="22"/>
        </w:rPr>
        <w:t xml:space="preserve"> Andalucía</w:t>
      </w:r>
      <w:r w:rsidR="00BC59A9">
        <w:rPr>
          <w:rFonts w:ascii="Verdana" w:hAnsi="Verdana"/>
          <w:sz w:val="22"/>
          <w:szCs w:val="22"/>
        </w:rPr>
        <w:t>, 36.69</w:t>
      </w:r>
      <w:r w:rsidRPr="007315EA">
        <w:rPr>
          <w:rFonts w:ascii="Verdana" w:hAnsi="Verdana"/>
          <w:sz w:val="22"/>
          <w:szCs w:val="22"/>
        </w:rPr>
        <w:t>1 y la Comuni</w:t>
      </w:r>
      <w:r w:rsidR="00BC59A9">
        <w:rPr>
          <w:rFonts w:ascii="Verdana" w:hAnsi="Verdana"/>
          <w:sz w:val="22"/>
          <w:szCs w:val="22"/>
        </w:rPr>
        <w:t>dad</w:t>
      </w:r>
      <w:r w:rsidRPr="007315EA">
        <w:rPr>
          <w:rFonts w:ascii="Verdana" w:hAnsi="Verdana"/>
          <w:sz w:val="22"/>
          <w:szCs w:val="22"/>
        </w:rPr>
        <w:t xml:space="preserve"> Valenciana, </w:t>
      </w:r>
      <w:r w:rsidR="00BC59A9">
        <w:rPr>
          <w:rFonts w:ascii="Verdana" w:hAnsi="Verdana"/>
          <w:sz w:val="22"/>
          <w:szCs w:val="22"/>
        </w:rPr>
        <w:t xml:space="preserve">con </w:t>
      </w:r>
      <w:r w:rsidRPr="007315EA">
        <w:rPr>
          <w:rFonts w:ascii="Verdana" w:hAnsi="Verdana"/>
          <w:sz w:val="22"/>
          <w:szCs w:val="22"/>
        </w:rPr>
        <w:t>25.963.</w:t>
      </w:r>
    </w:p>
    <w:p w:rsidR="000F01D3" w:rsidRPr="007315EA" w:rsidRDefault="000F01D3" w:rsidP="000F01D3">
      <w:pPr>
        <w:jc w:val="both"/>
        <w:rPr>
          <w:rFonts w:ascii="Verdana" w:hAnsi="Verdana"/>
          <w:sz w:val="22"/>
          <w:szCs w:val="22"/>
        </w:rPr>
      </w:pPr>
      <w:r w:rsidRPr="007315EA">
        <w:rPr>
          <w:rFonts w:ascii="Verdana" w:hAnsi="Verdana"/>
          <w:sz w:val="22"/>
          <w:szCs w:val="22"/>
        </w:rPr>
        <w:t>El procedimiento monitorio sirve para reclamar deudas dinerarias líquidas, determinadas, vencidas y exigibles, e incluyen las cantidades debidas en concepto de gastos comunes de comunidades de propietarios de inmuebles urbanos.</w:t>
      </w:r>
    </w:p>
    <w:p w:rsidR="000F01D3" w:rsidRPr="007315EA" w:rsidRDefault="000F01D3" w:rsidP="000F01D3">
      <w:pPr>
        <w:jc w:val="both"/>
        <w:rPr>
          <w:rFonts w:ascii="Verdana" w:hAnsi="Verdana"/>
          <w:sz w:val="22"/>
          <w:szCs w:val="22"/>
        </w:rPr>
      </w:pPr>
    </w:p>
    <w:p w:rsidR="000F01D3" w:rsidRPr="007315EA" w:rsidRDefault="000F01D3" w:rsidP="000F01D3">
      <w:pPr>
        <w:jc w:val="both"/>
        <w:rPr>
          <w:rFonts w:ascii="Verdana" w:hAnsi="Verdana"/>
          <w:b/>
          <w:sz w:val="22"/>
          <w:szCs w:val="22"/>
        </w:rPr>
      </w:pPr>
      <w:r w:rsidRPr="007315EA">
        <w:rPr>
          <w:rFonts w:ascii="Verdana" w:hAnsi="Verdana"/>
          <w:b/>
          <w:sz w:val="22"/>
          <w:szCs w:val="22"/>
        </w:rPr>
        <w:t>Acciones individuales sobre condiciones generales incluidas en contratos de financiación con garantías reales inmobiliarias cuyo prestatario sea una persona física (clausulas suelo)</w:t>
      </w:r>
    </w:p>
    <w:p w:rsidR="000F01D3" w:rsidRPr="007315EA" w:rsidRDefault="000F01D3" w:rsidP="000F01D3">
      <w:pPr>
        <w:jc w:val="both"/>
        <w:rPr>
          <w:rFonts w:ascii="Verdana" w:hAnsi="Verdana"/>
          <w:b/>
          <w:sz w:val="22"/>
          <w:szCs w:val="22"/>
        </w:rPr>
      </w:pPr>
    </w:p>
    <w:p w:rsidR="000F01D3" w:rsidRPr="007315EA" w:rsidRDefault="000F01D3" w:rsidP="000F01D3">
      <w:pPr>
        <w:jc w:val="both"/>
        <w:rPr>
          <w:rFonts w:ascii="Verdana" w:hAnsi="Verdana"/>
          <w:sz w:val="22"/>
          <w:szCs w:val="22"/>
        </w:rPr>
      </w:pPr>
      <w:r w:rsidRPr="007315EA">
        <w:rPr>
          <w:rFonts w:ascii="Verdana" w:hAnsi="Verdana"/>
          <w:sz w:val="22"/>
          <w:szCs w:val="22"/>
        </w:rPr>
        <w:t>En el cuarto trimestre de 2021</w:t>
      </w:r>
      <w:r w:rsidR="00BC59A9">
        <w:rPr>
          <w:rFonts w:ascii="Verdana" w:hAnsi="Verdana"/>
          <w:sz w:val="22"/>
          <w:szCs w:val="22"/>
        </w:rPr>
        <w:t>,</w:t>
      </w:r>
      <w:r w:rsidRPr="007315EA">
        <w:rPr>
          <w:rFonts w:ascii="Verdana" w:hAnsi="Verdana"/>
          <w:sz w:val="22"/>
          <w:szCs w:val="22"/>
        </w:rPr>
        <w:t xml:space="preserve"> han ingresado en los juzgados especializados 25.441 asuntos de esta naturaleza; se han resuelto 37.546, quedando en tramitación 212.969. Se han dictado 32.</w:t>
      </w:r>
      <w:r w:rsidR="00BC59A9">
        <w:rPr>
          <w:rFonts w:ascii="Verdana" w:hAnsi="Verdana"/>
          <w:sz w:val="22"/>
          <w:szCs w:val="22"/>
        </w:rPr>
        <w:t>975</w:t>
      </w:r>
      <w:r w:rsidRPr="007315EA">
        <w:rPr>
          <w:rFonts w:ascii="Verdana" w:hAnsi="Verdana"/>
          <w:sz w:val="22"/>
          <w:szCs w:val="22"/>
        </w:rPr>
        <w:t xml:space="preserve"> sentencias, de </w:t>
      </w:r>
      <w:r w:rsidR="00BC59A9">
        <w:rPr>
          <w:rFonts w:ascii="Verdana" w:hAnsi="Verdana"/>
          <w:sz w:val="22"/>
          <w:szCs w:val="22"/>
        </w:rPr>
        <w:t>las que</w:t>
      </w:r>
      <w:r w:rsidRPr="007315EA">
        <w:rPr>
          <w:rFonts w:ascii="Verdana" w:hAnsi="Verdana"/>
          <w:sz w:val="22"/>
          <w:szCs w:val="22"/>
        </w:rPr>
        <w:t xml:space="preserve"> el 97,5 por ciento </w:t>
      </w:r>
      <w:r w:rsidR="00BC59A9">
        <w:rPr>
          <w:rFonts w:ascii="Verdana" w:hAnsi="Verdana"/>
          <w:sz w:val="22"/>
          <w:szCs w:val="22"/>
        </w:rPr>
        <w:t xml:space="preserve">fueron </w:t>
      </w:r>
      <w:r w:rsidRPr="007315EA">
        <w:rPr>
          <w:rFonts w:ascii="Verdana" w:hAnsi="Verdana"/>
          <w:sz w:val="22"/>
          <w:szCs w:val="22"/>
        </w:rPr>
        <w:t>estimatorias.</w:t>
      </w:r>
    </w:p>
    <w:p w:rsidR="000F01D3" w:rsidRPr="007315EA" w:rsidRDefault="000F01D3" w:rsidP="000F01D3">
      <w:pPr>
        <w:jc w:val="both"/>
        <w:rPr>
          <w:rFonts w:ascii="Verdana" w:hAnsi="Verdana"/>
          <w:sz w:val="22"/>
          <w:szCs w:val="22"/>
        </w:rPr>
      </w:pPr>
    </w:p>
    <w:p w:rsidR="000F01D3" w:rsidRPr="007315EA" w:rsidRDefault="000F01D3" w:rsidP="000F01D3">
      <w:pPr>
        <w:jc w:val="both"/>
        <w:rPr>
          <w:rFonts w:ascii="Verdana" w:hAnsi="Verdana"/>
          <w:b/>
          <w:sz w:val="22"/>
          <w:szCs w:val="22"/>
        </w:rPr>
      </w:pPr>
      <w:r w:rsidRPr="007315EA">
        <w:rPr>
          <w:rFonts w:ascii="Verdana" w:hAnsi="Verdana"/>
          <w:b/>
          <w:sz w:val="22"/>
          <w:szCs w:val="22"/>
        </w:rPr>
        <w:t>Verbales posesorios por ocupación ilegal de viviendas</w:t>
      </w:r>
    </w:p>
    <w:p w:rsidR="000F01D3" w:rsidRPr="007315EA" w:rsidRDefault="000F01D3" w:rsidP="000F01D3">
      <w:pPr>
        <w:jc w:val="both"/>
        <w:rPr>
          <w:rFonts w:ascii="Verdana" w:hAnsi="Verdana"/>
          <w:sz w:val="22"/>
          <w:szCs w:val="22"/>
        </w:rPr>
      </w:pPr>
    </w:p>
    <w:p w:rsidR="000F01D3" w:rsidRPr="007315EA" w:rsidRDefault="000F01D3" w:rsidP="000F01D3">
      <w:pPr>
        <w:jc w:val="both"/>
        <w:rPr>
          <w:rFonts w:ascii="Verdana" w:hAnsi="Verdana"/>
          <w:sz w:val="22"/>
          <w:szCs w:val="22"/>
        </w:rPr>
      </w:pPr>
      <w:r w:rsidRPr="007315EA">
        <w:rPr>
          <w:rFonts w:ascii="Verdana" w:hAnsi="Verdana"/>
          <w:sz w:val="22"/>
          <w:szCs w:val="22"/>
        </w:rPr>
        <w:t>La Ley 5/2018, de 11 de junio, de modificación de la Ley 1/2000, de 7 de enero, de Enjuiciamiento Civil, en relación a la ocupación ilegal de viviendas ha modificado el artículo 250.</w:t>
      </w:r>
      <w:proofErr w:type="gramStart"/>
      <w:r w:rsidRPr="007315EA">
        <w:rPr>
          <w:rFonts w:ascii="Verdana" w:hAnsi="Verdana"/>
          <w:sz w:val="22"/>
          <w:szCs w:val="22"/>
        </w:rPr>
        <w:t>1.4º</w:t>
      </w:r>
      <w:proofErr w:type="gramEnd"/>
      <w:r w:rsidRPr="007315EA">
        <w:rPr>
          <w:rFonts w:ascii="Verdana" w:hAnsi="Verdana"/>
          <w:sz w:val="22"/>
          <w:szCs w:val="22"/>
        </w:rPr>
        <w:t xml:space="preserve"> de la Ley de enjuiciamiento Civil. Desde el tercer trimestre de 2018 se dispone de información estadística de los juicios verbales posesorios por ocupación ilegal de viviendas para los casos en los que los propietarios sean personas físicas, entidades sin ánimo de lucro, o entidades públicas poseedoras de vivienda social. </w:t>
      </w:r>
    </w:p>
    <w:p w:rsidR="000F01D3" w:rsidRPr="007315EA" w:rsidRDefault="000F01D3" w:rsidP="000F01D3">
      <w:pPr>
        <w:jc w:val="both"/>
        <w:rPr>
          <w:rFonts w:ascii="Verdana" w:hAnsi="Verdana"/>
          <w:sz w:val="22"/>
          <w:szCs w:val="22"/>
        </w:rPr>
      </w:pPr>
    </w:p>
    <w:p w:rsidR="000F01D3" w:rsidRDefault="000F01D3" w:rsidP="000F01D3">
      <w:pPr>
        <w:jc w:val="both"/>
        <w:rPr>
          <w:rFonts w:ascii="Verdana" w:hAnsi="Verdana"/>
          <w:sz w:val="22"/>
          <w:szCs w:val="22"/>
        </w:rPr>
      </w:pPr>
      <w:r w:rsidRPr="007315EA">
        <w:rPr>
          <w:rFonts w:ascii="Verdana" w:hAnsi="Verdana"/>
          <w:sz w:val="22"/>
          <w:szCs w:val="22"/>
        </w:rPr>
        <w:t>En el cuarto trimestre de 2021</w:t>
      </w:r>
      <w:r w:rsidR="00BC59A9">
        <w:rPr>
          <w:rFonts w:ascii="Verdana" w:hAnsi="Verdana"/>
          <w:sz w:val="22"/>
          <w:szCs w:val="22"/>
        </w:rPr>
        <w:t xml:space="preserve">, </w:t>
      </w:r>
      <w:r w:rsidRPr="007315EA">
        <w:rPr>
          <w:rFonts w:ascii="Verdana" w:hAnsi="Verdana"/>
          <w:sz w:val="22"/>
          <w:szCs w:val="22"/>
        </w:rPr>
        <w:t xml:space="preserve">han ingresado 726 un 20,6 </w:t>
      </w:r>
      <w:r w:rsidR="00BC59A9">
        <w:rPr>
          <w:rFonts w:ascii="Verdana" w:hAnsi="Verdana"/>
          <w:sz w:val="22"/>
          <w:szCs w:val="22"/>
        </w:rPr>
        <w:t>%</w:t>
      </w:r>
      <w:r w:rsidRPr="007315EA">
        <w:rPr>
          <w:rFonts w:ascii="Verdana" w:hAnsi="Verdana"/>
          <w:sz w:val="22"/>
          <w:szCs w:val="22"/>
        </w:rPr>
        <w:t xml:space="preserve"> menos que en </w:t>
      </w:r>
      <w:r w:rsidR="00BC59A9">
        <w:rPr>
          <w:rFonts w:ascii="Verdana" w:hAnsi="Verdana"/>
          <w:sz w:val="22"/>
          <w:szCs w:val="22"/>
        </w:rPr>
        <w:t>el mismo periodo</w:t>
      </w:r>
      <w:r w:rsidRPr="007315EA">
        <w:rPr>
          <w:rFonts w:ascii="Verdana" w:hAnsi="Verdana"/>
          <w:sz w:val="22"/>
          <w:szCs w:val="22"/>
        </w:rPr>
        <w:t xml:space="preserve"> del año anterior. En Cataluña se ha presentado el mayor número de demandas</w:t>
      </w:r>
      <w:r w:rsidR="00BC59A9">
        <w:rPr>
          <w:rFonts w:ascii="Verdana" w:hAnsi="Verdana"/>
          <w:sz w:val="22"/>
          <w:szCs w:val="22"/>
        </w:rPr>
        <w:t>,</w:t>
      </w:r>
      <w:r w:rsidRPr="007315EA">
        <w:rPr>
          <w:rFonts w:ascii="Verdana" w:hAnsi="Verdana"/>
          <w:sz w:val="22"/>
          <w:szCs w:val="22"/>
        </w:rPr>
        <w:t xml:space="preserve"> 173</w:t>
      </w:r>
      <w:r w:rsidR="00BC59A9">
        <w:rPr>
          <w:rFonts w:ascii="Verdana" w:hAnsi="Verdana"/>
          <w:sz w:val="22"/>
          <w:szCs w:val="22"/>
        </w:rPr>
        <w:t>,</w:t>
      </w:r>
      <w:r w:rsidRPr="007315EA">
        <w:rPr>
          <w:rFonts w:ascii="Verdana" w:hAnsi="Verdana"/>
          <w:sz w:val="22"/>
          <w:szCs w:val="22"/>
        </w:rPr>
        <w:t xml:space="preserve"> que representan el 23,8 </w:t>
      </w:r>
      <w:r w:rsidR="00BC59A9">
        <w:rPr>
          <w:rFonts w:ascii="Verdana" w:hAnsi="Verdana"/>
          <w:sz w:val="22"/>
          <w:szCs w:val="22"/>
        </w:rPr>
        <w:t>%</w:t>
      </w:r>
      <w:r w:rsidRPr="007315EA">
        <w:rPr>
          <w:rFonts w:ascii="Verdana" w:hAnsi="Verdana"/>
          <w:sz w:val="22"/>
          <w:szCs w:val="22"/>
        </w:rPr>
        <w:t xml:space="preserve"> del total nacional. Le siguen Andalucía, </w:t>
      </w:r>
      <w:r w:rsidR="00BC59A9">
        <w:rPr>
          <w:rFonts w:ascii="Verdana" w:hAnsi="Verdana"/>
          <w:sz w:val="22"/>
          <w:szCs w:val="22"/>
        </w:rPr>
        <w:t xml:space="preserve">con </w:t>
      </w:r>
      <w:r w:rsidRPr="007315EA">
        <w:rPr>
          <w:rFonts w:ascii="Verdana" w:hAnsi="Verdana"/>
          <w:sz w:val="22"/>
          <w:szCs w:val="22"/>
        </w:rPr>
        <w:t>163</w:t>
      </w:r>
      <w:r w:rsidR="00BC59A9">
        <w:rPr>
          <w:rFonts w:ascii="Verdana" w:hAnsi="Verdana"/>
          <w:sz w:val="22"/>
          <w:szCs w:val="22"/>
        </w:rPr>
        <w:t>;</w:t>
      </w:r>
      <w:r w:rsidRPr="007315EA">
        <w:rPr>
          <w:rFonts w:ascii="Verdana" w:hAnsi="Verdana"/>
          <w:sz w:val="22"/>
          <w:szCs w:val="22"/>
        </w:rPr>
        <w:t xml:space="preserve"> Comuni</w:t>
      </w:r>
      <w:r w:rsidR="00BC59A9">
        <w:rPr>
          <w:rFonts w:ascii="Verdana" w:hAnsi="Verdana"/>
          <w:sz w:val="22"/>
          <w:szCs w:val="22"/>
        </w:rPr>
        <w:t>dad</w:t>
      </w:r>
      <w:r w:rsidRPr="007315EA">
        <w:rPr>
          <w:rFonts w:ascii="Verdana" w:hAnsi="Verdana"/>
          <w:sz w:val="22"/>
          <w:szCs w:val="22"/>
        </w:rPr>
        <w:t xml:space="preserve"> Valenciana, </w:t>
      </w:r>
      <w:r w:rsidR="00BC59A9">
        <w:rPr>
          <w:rFonts w:ascii="Verdana" w:hAnsi="Verdana"/>
          <w:sz w:val="22"/>
          <w:szCs w:val="22"/>
        </w:rPr>
        <w:t>con 105</w:t>
      </w:r>
      <w:r w:rsidRPr="007315EA">
        <w:rPr>
          <w:rFonts w:ascii="Verdana" w:hAnsi="Verdana"/>
          <w:sz w:val="22"/>
          <w:szCs w:val="22"/>
        </w:rPr>
        <w:t xml:space="preserve"> y Madrid, </w:t>
      </w:r>
      <w:r w:rsidR="00BC59A9">
        <w:rPr>
          <w:rFonts w:ascii="Verdana" w:hAnsi="Verdana"/>
          <w:sz w:val="22"/>
          <w:szCs w:val="22"/>
        </w:rPr>
        <w:t xml:space="preserve">con </w:t>
      </w:r>
      <w:r w:rsidRPr="007315EA">
        <w:rPr>
          <w:rFonts w:ascii="Verdana" w:hAnsi="Verdana"/>
          <w:sz w:val="22"/>
          <w:szCs w:val="22"/>
        </w:rPr>
        <w:t xml:space="preserve">51. </w:t>
      </w:r>
    </w:p>
    <w:p w:rsidR="000F01D3" w:rsidRDefault="000F01D3" w:rsidP="000F01D3">
      <w:pPr>
        <w:jc w:val="both"/>
        <w:rPr>
          <w:rFonts w:ascii="Verdana" w:hAnsi="Verdana"/>
          <w:sz w:val="22"/>
          <w:szCs w:val="22"/>
        </w:rPr>
      </w:pPr>
    </w:p>
    <w:p w:rsidR="003264B9" w:rsidRPr="007315EA" w:rsidRDefault="003264B9" w:rsidP="000F01D3">
      <w:pPr>
        <w:jc w:val="both"/>
        <w:rPr>
          <w:rFonts w:ascii="Verdana" w:hAnsi="Verdana"/>
          <w:sz w:val="22"/>
          <w:szCs w:val="22"/>
        </w:rPr>
      </w:pPr>
    </w:p>
    <w:p w:rsidR="000F01D3" w:rsidRPr="007315EA" w:rsidRDefault="000F01D3" w:rsidP="000F01D3">
      <w:pPr>
        <w:jc w:val="both"/>
        <w:rPr>
          <w:rFonts w:ascii="Verdana" w:hAnsi="Verdana"/>
          <w:sz w:val="22"/>
          <w:szCs w:val="22"/>
        </w:rPr>
      </w:pPr>
      <w:r w:rsidRPr="007315EA">
        <w:rPr>
          <w:noProof/>
        </w:rPr>
        <w:drawing>
          <wp:inline distT="0" distB="0" distL="0" distR="0" wp14:anchorId="14B24CBB" wp14:editId="17366513">
            <wp:extent cx="5372100" cy="2821998"/>
            <wp:effectExtent l="0" t="0" r="0" b="16510"/>
            <wp:docPr id="11" name="Gráfico 11">
              <a:extLst xmlns:a="http://schemas.openxmlformats.org/drawingml/2006/main">
                <a:ext uri="{FF2B5EF4-FFF2-40B4-BE49-F238E27FC236}">
                  <a16:creationId xmlns:a16="http://schemas.microsoft.com/office/drawing/2014/main" id="{07886A4E-D5E2-4CED-9294-4EAB3951F9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F01D3" w:rsidRPr="007315EA" w:rsidRDefault="000F01D3" w:rsidP="000F01D3">
      <w:pPr>
        <w:jc w:val="both"/>
        <w:rPr>
          <w:rFonts w:ascii="Verdana" w:hAnsi="Verdana"/>
          <w:sz w:val="22"/>
          <w:szCs w:val="22"/>
        </w:rPr>
      </w:pPr>
      <w:r w:rsidRPr="007315EA">
        <w:rPr>
          <w:rFonts w:ascii="Verdana" w:hAnsi="Verdana"/>
          <w:sz w:val="22"/>
          <w:szCs w:val="22"/>
        </w:rPr>
        <w:t xml:space="preserve">En el siguiente gráfico se muestra el número de procedimientos </w:t>
      </w:r>
      <w:r w:rsidR="00972121">
        <w:rPr>
          <w:rFonts w:ascii="Verdana" w:hAnsi="Verdana"/>
          <w:sz w:val="22"/>
          <w:szCs w:val="22"/>
        </w:rPr>
        <w:t xml:space="preserve">verbales posesorios por ocupación ilegal de viviendas </w:t>
      </w:r>
      <w:r w:rsidRPr="007315EA">
        <w:rPr>
          <w:rFonts w:ascii="Verdana" w:hAnsi="Verdana"/>
          <w:sz w:val="22"/>
          <w:szCs w:val="22"/>
        </w:rPr>
        <w:t>presentados por cada 100.000 habitantes en los distintos tribunales superiores de justicia.</w:t>
      </w:r>
    </w:p>
    <w:p w:rsidR="000F01D3" w:rsidRPr="007315EA" w:rsidRDefault="000F01D3" w:rsidP="000F01D3">
      <w:pPr>
        <w:jc w:val="both"/>
        <w:rPr>
          <w:rFonts w:ascii="Verdana" w:hAnsi="Verdana"/>
          <w:sz w:val="22"/>
          <w:szCs w:val="22"/>
        </w:rPr>
      </w:pPr>
    </w:p>
    <w:p w:rsidR="000F01D3" w:rsidRPr="007315EA" w:rsidRDefault="000F01D3" w:rsidP="000F01D3">
      <w:pPr>
        <w:jc w:val="both"/>
        <w:rPr>
          <w:rFonts w:ascii="Verdana" w:hAnsi="Verdana"/>
          <w:sz w:val="22"/>
          <w:szCs w:val="22"/>
        </w:rPr>
      </w:pPr>
      <w:r w:rsidRPr="007315EA">
        <w:rPr>
          <w:noProof/>
        </w:rPr>
        <w:drawing>
          <wp:inline distT="0" distB="0" distL="0" distR="0" wp14:anchorId="1CD04228" wp14:editId="7C86C3AA">
            <wp:extent cx="5400040" cy="2735580"/>
            <wp:effectExtent l="0" t="0" r="10160" b="7620"/>
            <wp:docPr id="12" name="Gráfico 12">
              <a:extLst xmlns:a="http://schemas.openxmlformats.org/drawingml/2006/main">
                <a:ext uri="{FF2B5EF4-FFF2-40B4-BE49-F238E27FC236}">
                  <a16:creationId xmlns:a16="http://schemas.microsoft.com/office/drawing/2014/main" id="{C9243759-A6CF-4949-A04E-6AD1F08876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F01D3" w:rsidRPr="007315EA" w:rsidRDefault="000F01D3" w:rsidP="000F01D3">
      <w:pPr>
        <w:jc w:val="both"/>
        <w:rPr>
          <w:rFonts w:ascii="Verdana" w:hAnsi="Verdana"/>
          <w:sz w:val="22"/>
          <w:szCs w:val="22"/>
        </w:rPr>
      </w:pPr>
    </w:p>
    <w:p w:rsidR="000F01D3" w:rsidRPr="007315EA" w:rsidRDefault="000F01D3" w:rsidP="000F01D3">
      <w:pPr>
        <w:jc w:val="both"/>
        <w:rPr>
          <w:rFonts w:ascii="Verdana" w:hAnsi="Verdana"/>
          <w:sz w:val="22"/>
          <w:szCs w:val="22"/>
        </w:rPr>
      </w:pPr>
    </w:p>
    <w:p w:rsidR="008C3280" w:rsidRDefault="008C3280" w:rsidP="000F01D3">
      <w:pPr>
        <w:jc w:val="both"/>
        <w:rPr>
          <w:rFonts w:ascii="Verdana" w:hAnsi="Verdana"/>
          <w:sz w:val="22"/>
          <w:szCs w:val="22"/>
        </w:rPr>
      </w:pPr>
    </w:p>
    <w:p w:rsidR="000F01D3" w:rsidRPr="007315EA" w:rsidRDefault="00FB46CE" w:rsidP="000F01D3">
      <w:pPr>
        <w:jc w:val="both"/>
        <w:rPr>
          <w:rFonts w:ascii="Verdana" w:hAnsi="Verdana"/>
          <w:sz w:val="22"/>
          <w:szCs w:val="22"/>
        </w:rPr>
      </w:pPr>
      <w:r>
        <w:rPr>
          <w:rFonts w:ascii="Verdana" w:hAnsi="Verdana"/>
          <w:sz w:val="22"/>
          <w:szCs w:val="22"/>
        </w:rPr>
        <w:t>Todos los datos estadísticos correspondientes al cuarto trimestre de 2021 y las series completas desde 2007 están disponibles en el siguiente enlace:</w:t>
      </w:r>
    </w:p>
    <w:p w:rsidR="000F01D3" w:rsidRDefault="000F01D3" w:rsidP="00FB46CE">
      <w:pPr>
        <w:rPr>
          <w:rFonts w:ascii="Verdana" w:hAnsi="Verdana"/>
          <w:b/>
        </w:rPr>
      </w:pPr>
    </w:p>
    <w:p w:rsidR="00924D70" w:rsidRDefault="006B46D5" w:rsidP="009117CA">
      <w:pPr>
        <w:jc w:val="both"/>
        <w:rPr>
          <w:rFonts w:ascii="Verdana" w:hAnsi="Verdana"/>
          <w:color w:val="1F497D" w:themeColor="text2"/>
        </w:rPr>
      </w:pPr>
      <w:hyperlink r:id="rId28" w:history="1">
        <w:r w:rsidR="009117CA" w:rsidRPr="0014413D">
          <w:rPr>
            <w:rStyle w:val="Hipervnculo"/>
            <w:rFonts w:ascii="Verdana" w:hAnsi="Verdana"/>
          </w:rPr>
          <w:t>https://www.poderjudicial.es/cgpj/es/Temas/Estadistica-Judicial/Estudios-e-Informes/Efecto-de-la-Crisis-en-los-organos-judiciales/</w:t>
        </w:r>
      </w:hyperlink>
    </w:p>
    <w:p w:rsidR="009117CA" w:rsidRPr="009117CA" w:rsidRDefault="009117CA" w:rsidP="009117CA">
      <w:pPr>
        <w:jc w:val="both"/>
        <w:rPr>
          <w:rFonts w:ascii="Verdana" w:hAnsi="Verdana"/>
          <w:sz w:val="22"/>
          <w:szCs w:val="22"/>
        </w:rPr>
      </w:pPr>
    </w:p>
    <w:sectPr w:rsidR="009117CA" w:rsidRPr="009117CA">
      <w:headerReference w:type="default" r:id="rId29"/>
      <w:footerReference w:type="default" r:id="rId3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46D5" w:rsidRDefault="006B46D5">
      <w:r>
        <w:separator/>
      </w:r>
    </w:p>
  </w:endnote>
  <w:endnote w:type="continuationSeparator" w:id="0">
    <w:p w:rsidR="006B46D5" w:rsidRDefault="006B4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056" w:rsidRDefault="00DA5173" w:rsidP="00761056">
    <w:pPr>
      <w:pStyle w:val="Piedepgina"/>
      <w:ind w:firstLine="708"/>
      <w:rPr>
        <w:rFonts w:ascii="Verdana" w:hAnsi="Verdana"/>
        <w:sz w:val="20"/>
        <w:szCs w:val="20"/>
      </w:rPr>
    </w:pPr>
    <w:r>
      <w:rPr>
        <w:rFonts w:ascii="Verdana" w:hAnsi="Verdana"/>
        <w:noProof/>
        <w:sz w:val="20"/>
        <w:szCs w:val="20"/>
      </w:rPr>
      <w:drawing>
        <wp:anchor distT="0" distB="0" distL="114300" distR="114300" simplePos="0" relativeHeight="251663360" behindDoc="1" locked="0" layoutInCell="1" allowOverlap="1">
          <wp:simplePos x="0" y="0"/>
          <wp:positionH relativeFrom="column">
            <wp:posOffset>-205740</wp:posOffset>
          </wp:positionH>
          <wp:positionV relativeFrom="paragraph">
            <wp:posOffset>149225</wp:posOffset>
          </wp:positionV>
          <wp:extent cx="269240" cy="17526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240" cy="175265"/>
                  </a:xfrm>
                  <a:prstGeom prst="rect">
                    <a:avLst/>
                  </a:prstGeom>
                </pic:spPr>
              </pic:pic>
            </a:graphicData>
          </a:graphic>
          <wp14:sizeRelH relativeFrom="margin">
            <wp14:pctWidth>0</wp14:pctWidth>
          </wp14:sizeRelH>
          <wp14:sizeRelV relativeFrom="margin">
            <wp14:pctHeight>0</wp14:pctHeight>
          </wp14:sizeRelV>
        </wp:anchor>
      </w:drawing>
    </w:r>
    <w:r w:rsidRPr="0064174D">
      <w:rPr>
        <w:rFonts w:ascii="Verdana" w:hAnsi="Verdana"/>
        <w:noProof/>
        <w:color w:val="C00000"/>
        <w:sz w:val="20"/>
        <w:szCs w:val="20"/>
      </w:rPr>
      <mc:AlternateContent>
        <mc:Choice Requires="wps">
          <w:drawing>
            <wp:anchor distT="0" distB="0" distL="114300" distR="114300" simplePos="0" relativeHeight="251654144" behindDoc="0" locked="0" layoutInCell="1" allowOverlap="1" wp14:anchorId="35598E87" wp14:editId="47BD9FB8">
              <wp:simplePos x="0" y="0"/>
              <wp:positionH relativeFrom="column">
                <wp:posOffset>-135255</wp:posOffset>
              </wp:positionH>
              <wp:positionV relativeFrom="paragraph">
                <wp:posOffset>45720</wp:posOffset>
              </wp:positionV>
              <wp:extent cx="5539105" cy="10160"/>
              <wp:effectExtent l="0" t="0" r="23495" b="27940"/>
              <wp:wrapNone/>
              <wp:docPr id="3" name="3 Conector recto"/>
              <wp:cNvGraphicFramePr/>
              <a:graphic xmlns:a="http://schemas.openxmlformats.org/drawingml/2006/main">
                <a:graphicData uri="http://schemas.microsoft.com/office/word/2010/wordprocessingShape">
                  <wps:wsp>
                    <wps:cNvCnPr/>
                    <wps:spPr>
                      <a:xfrm>
                        <a:off x="0" y="0"/>
                        <a:ext cx="5539105" cy="10160"/>
                      </a:xfrm>
                      <a:prstGeom prst="line">
                        <a:avLst/>
                      </a:prstGeom>
                      <a:ln w="635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DB1AD7" id="3 Conector recto"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3.6pt" to="42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" strokecolor="#c00000" strokeweight=".5pt"/>
          </w:pict>
        </mc:Fallback>
      </mc:AlternateContent>
    </w:r>
    <w:r w:rsidR="00C3101F">
      <w:rPr>
        <w:rFonts w:ascii="Verdana" w:hAnsi="Verdana"/>
        <w:noProof/>
        <w:color w:val="C00000"/>
        <w:sz w:val="20"/>
        <w:szCs w:val="20"/>
      </w:rPr>
      <w:drawing>
        <wp:anchor distT="0" distB="0" distL="114300" distR="114300" simplePos="0" relativeHeight="251658240" behindDoc="1" locked="0" layoutInCell="1" allowOverlap="1">
          <wp:simplePos x="0" y="0"/>
          <wp:positionH relativeFrom="column">
            <wp:posOffset>32385</wp:posOffset>
          </wp:positionH>
          <wp:positionV relativeFrom="paragraph">
            <wp:posOffset>132080</wp:posOffset>
          </wp:positionV>
          <wp:extent cx="285750" cy="207645"/>
          <wp:effectExtent l="0" t="0" r="0" b="19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 cy="207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1056" w:rsidRPr="00761056" w:rsidRDefault="00761056" w:rsidP="00761056">
    <w:pPr>
      <w:pStyle w:val="Piedepgina"/>
      <w:rPr>
        <w:rFonts w:ascii="Verdana" w:hAnsi="Verdana"/>
        <w:sz w:val="20"/>
        <w:szCs w:val="20"/>
      </w:rPr>
    </w:pPr>
    <w:r>
      <w:rPr>
        <w:rFonts w:ascii="Verdana" w:hAnsi="Verdana"/>
        <w:sz w:val="20"/>
        <w:szCs w:val="20"/>
      </w:rPr>
      <w:t xml:space="preserve">       </w:t>
    </w:r>
    <w:r w:rsidRPr="00761056">
      <w:rPr>
        <w:rFonts w:ascii="Verdana" w:hAnsi="Verdana"/>
        <w:sz w:val="20"/>
        <w:szCs w:val="20"/>
      </w:rPr>
      <w:t>@PoderJudicialE</w:t>
    </w:r>
    <w:r w:rsidR="00857B42">
      <w:rPr>
        <w:rFonts w:ascii="Verdana" w:hAnsi="Verdana"/>
        <w:sz w:val="20"/>
        <w:szCs w:val="20"/>
      </w:rPr>
      <w:t>s</w:t>
    </w:r>
    <w:r>
      <w:rPr>
        <w:rFonts w:ascii="Verdana" w:hAnsi="Verdana"/>
        <w:sz w:val="20"/>
        <w:szCs w:val="20"/>
      </w:rPr>
      <w:tab/>
    </w:r>
    <w:r>
      <w:rPr>
        <w:rFonts w:ascii="Verdana" w:hAnsi="Verdana"/>
        <w:sz w:val="20"/>
        <w:szCs w:val="20"/>
      </w:rPr>
      <w:tab/>
    </w:r>
    <w:hyperlink r:id="rId3" w:history="1">
      <w:r w:rsidRPr="00EC73BD">
        <w:rPr>
          <w:rStyle w:val="Hipervnculo"/>
          <w:rFonts w:ascii="Verdana" w:hAnsi="Verdana"/>
          <w:sz w:val="20"/>
          <w:szCs w:val="20"/>
        </w:rPr>
        <w:t>www.poderjudicial.es</w:t>
      </w:r>
    </w:hyperlink>
    <w:r>
      <w:rPr>
        <w:rFonts w:ascii="Verdana" w:hAnsi="Verdana"/>
        <w:sz w:val="20"/>
        <w:szCs w:val="20"/>
      </w:rPr>
      <w:t xml:space="preserve"> </w:t>
    </w:r>
  </w:p>
  <w:p w:rsidR="00761056" w:rsidRDefault="0076105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46D5" w:rsidRDefault="006B46D5">
      <w:r>
        <w:separator/>
      </w:r>
    </w:p>
  </w:footnote>
  <w:footnote w:type="continuationSeparator" w:id="0">
    <w:p w:rsidR="006B46D5" w:rsidRDefault="006B46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470" w:rsidRDefault="00E24154">
    <w:pPr>
      <w:pStyle w:val="Encabezado"/>
    </w:pPr>
    <w:r>
      <w:rPr>
        <w:noProof/>
      </w:rPr>
      <w:drawing>
        <wp:inline distT="0" distB="0" distL="0" distR="0" wp14:anchorId="2CE4131D" wp14:editId="44BE1A93">
          <wp:extent cx="691610" cy="1035313"/>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4226" cy="1039229"/>
                  </a:xfrm>
                  <a:prstGeom prst="rect">
                    <a:avLst/>
                  </a:prstGeom>
                </pic:spPr>
              </pic:pic>
            </a:graphicData>
          </a:graphic>
        </wp:inline>
      </w:drawing>
    </w:r>
  </w:p>
  <w:p w:rsidR="00315470" w:rsidRDefault="003154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67.65pt;height:1020.55pt;visibility:visible;mso-wrap-style:square" o:bullet="t">
        <v:imagedata r:id="rId1" o:title=""/>
      </v:shape>
    </w:pict>
  </w:numPicBullet>
  <w:abstractNum w:abstractNumId="0" w15:restartNumberingAfterBreak="0">
    <w:nsid w:val="58BC7786"/>
    <w:multiLevelType w:val="hybridMultilevel"/>
    <w:tmpl w:val="02DCE94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D52"/>
    <w:rsid w:val="00007149"/>
    <w:rsid w:val="00015AF9"/>
    <w:rsid w:val="00016265"/>
    <w:rsid w:val="00022CF2"/>
    <w:rsid w:val="00031CD1"/>
    <w:rsid w:val="00033F0A"/>
    <w:rsid w:val="0003507D"/>
    <w:rsid w:val="0004488F"/>
    <w:rsid w:val="00044E2C"/>
    <w:rsid w:val="00053FB3"/>
    <w:rsid w:val="00063BE6"/>
    <w:rsid w:val="00064452"/>
    <w:rsid w:val="00071BDE"/>
    <w:rsid w:val="00076F8B"/>
    <w:rsid w:val="00090115"/>
    <w:rsid w:val="000919EC"/>
    <w:rsid w:val="00095094"/>
    <w:rsid w:val="000A0EEB"/>
    <w:rsid w:val="000A32AF"/>
    <w:rsid w:val="000B486E"/>
    <w:rsid w:val="000C591B"/>
    <w:rsid w:val="000D5AD8"/>
    <w:rsid w:val="000E1ADF"/>
    <w:rsid w:val="000E1B11"/>
    <w:rsid w:val="000F01D3"/>
    <w:rsid w:val="0010334D"/>
    <w:rsid w:val="00104A8B"/>
    <w:rsid w:val="00106737"/>
    <w:rsid w:val="00106D52"/>
    <w:rsid w:val="0010700F"/>
    <w:rsid w:val="00136F56"/>
    <w:rsid w:val="00136FBE"/>
    <w:rsid w:val="0013733B"/>
    <w:rsid w:val="00162549"/>
    <w:rsid w:val="00163BFD"/>
    <w:rsid w:val="00171DBF"/>
    <w:rsid w:val="001945B9"/>
    <w:rsid w:val="001A2C76"/>
    <w:rsid w:val="001A7292"/>
    <w:rsid w:val="001C18E9"/>
    <w:rsid w:val="001C67A6"/>
    <w:rsid w:val="001D5AE3"/>
    <w:rsid w:val="001F6F10"/>
    <w:rsid w:val="00204B47"/>
    <w:rsid w:val="00213F4B"/>
    <w:rsid w:val="00215FBE"/>
    <w:rsid w:val="0022361A"/>
    <w:rsid w:val="002308C3"/>
    <w:rsid w:val="002327EC"/>
    <w:rsid w:val="002C056F"/>
    <w:rsid w:val="002D0ABF"/>
    <w:rsid w:val="002E1EB9"/>
    <w:rsid w:val="002E4FA9"/>
    <w:rsid w:val="002F1E56"/>
    <w:rsid w:val="00301823"/>
    <w:rsid w:val="00304466"/>
    <w:rsid w:val="0030598D"/>
    <w:rsid w:val="00313314"/>
    <w:rsid w:val="00315470"/>
    <w:rsid w:val="00324E38"/>
    <w:rsid w:val="00326069"/>
    <w:rsid w:val="003264B9"/>
    <w:rsid w:val="00331815"/>
    <w:rsid w:val="00340DA9"/>
    <w:rsid w:val="00361CA4"/>
    <w:rsid w:val="003713EE"/>
    <w:rsid w:val="00374CEA"/>
    <w:rsid w:val="00393A4F"/>
    <w:rsid w:val="00397E57"/>
    <w:rsid w:val="003A070C"/>
    <w:rsid w:val="003A36FB"/>
    <w:rsid w:val="003B3861"/>
    <w:rsid w:val="003C091C"/>
    <w:rsid w:val="003C6E5D"/>
    <w:rsid w:val="003D101B"/>
    <w:rsid w:val="003D2555"/>
    <w:rsid w:val="003D7384"/>
    <w:rsid w:val="003D79A0"/>
    <w:rsid w:val="003E470E"/>
    <w:rsid w:val="003F2B54"/>
    <w:rsid w:val="00415BC1"/>
    <w:rsid w:val="00417AFB"/>
    <w:rsid w:val="0042180E"/>
    <w:rsid w:val="00423858"/>
    <w:rsid w:val="00424C43"/>
    <w:rsid w:val="004251B2"/>
    <w:rsid w:val="00430248"/>
    <w:rsid w:val="00437C72"/>
    <w:rsid w:val="00441A4E"/>
    <w:rsid w:val="00454D34"/>
    <w:rsid w:val="00464F54"/>
    <w:rsid w:val="00483116"/>
    <w:rsid w:val="00491E79"/>
    <w:rsid w:val="00494CB8"/>
    <w:rsid w:val="00496D54"/>
    <w:rsid w:val="004A3D73"/>
    <w:rsid w:val="004B53EF"/>
    <w:rsid w:val="004E0A8F"/>
    <w:rsid w:val="004E5BFE"/>
    <w:rsid w:val="004F14CA"/>
    <w:rsid w:val="004F1CC8"/>
    <w:rsid w:val="00506ABA"/>
    <w:rsid w:val="00534123"/>
    <w:rsid w:val="00537978"/>
    <w:rsid w:val="0054006E"/>
    <w:rsid w:val="0054084D"/>
    <w:rsid w:val="00545BEA"/>
    <w:rsid w:val="0055710E"/>
    <w:rsid w:val="00562494"/>
    <w:rsid w:val="005A4211"/>
    <w:rsid w:val="005A65DF"/>
    <w:rsid w:val="005D481D"/>
    <w:rsid w:val="005D53D8"/>
    <w:rsid w:val="005D7D7F"/>
    <w:rsid w:val="005F2B7B"/>
    <w:rsid w:val="005F3122"/>
    <w:rsid w:val="006170E6"/>
    <w:rsid w:val="006263A8"/>
    <w:rsid w:val="00630FC3"/>
    <w:rsid w:val="00637EF5"/>
    <w:rsid w:val="006410C6"/>
    <w:rsid w:val="0064174D"/>
    <w:rsid w:val="006421E9"/>
    <w:rsid w:val="00643DB8"/>
    <w:rsid w:val="00644957"/>
    <w:rsid w:val="006451A1"/>
    <w:rsid w:val="006455F8"/>
    <w:rsid w:val="00646D75"/>
    <w:rsid w:val="006544FD"/>
    <w:rsid w:val="00655BD7"/>
    <w:rsid w:val="00665E4A"/>
    <w:rsid w:val="00672C43"/>
    <w:rsid w:val="00692252"/>
    <w:rsid w:val="006B46D5"/>
    <w:rsid w:val="006C00F5"/>
    <w:rsid w:val="006C17FA"/>
    <w:rsid w:val="006C3339"/>
    <w:rsid w:val="006C60F0"/>
    <w:rsid w:val="006D0823"/>
    <w:rsid w:val="006D6E6B"/>
    <w:rsid w:val="006D7E19"/>
    <w:rsid w:val="00711656"/>
    <w:rsid w:val="007135C8"/>
    <w:rsid w:val="007227B9"/>
    <w:rsid w:val="0072433B"/>
    <w:rsid w:val="0072522E"/>
    <w:rsid w:val="00736261"/>
    <w:rsid w:val="00743B16"/>
    <w:rsid w:val="007518F6"/>
    <w:rsid w:val="00752CBB"/>
    <w:rsid w:val="00761056"/>
    <w:rsid w:val="007869B4"/>
    <w:rsid w:val="00791550"/>
    <w:rsid w:val="007A028A"/>
    <w:rsid w:val="007A22A7"/>
    <w:rsid w:val="007B4FA7"/>
    <w:rsid w:val="007B6BF5"/>
    <w:rsid w:val="007F0719"/>
    <w:rsid w:val="0080017D"/>
    <w:rsid w:val="00801AB7"/>
    <w:rsid w:val="00823E9C"/>
    <w:rsid w:val="0082559A"/>
    <w:rsid w:val="008344F9"/>
    <w:rsid w:val="00850FE1"/>
    <w:rsid w:val="00854487"/>
    <w:rsid w:val="008556C2"/>
    <w:rsid w:val="00857B42"/>
    <w:rsid w:val="00870C45"/>
    <w:rsid w:val="00881BEB"/>
    <w:rsid w:val="008A1414"/>
    <w:rsid w:val="008C3280"/>
    <w:rsid w:val="008C6BBC"/>
    <w:rsid w:val="008D1265"/>
    <w:rsid w:val="00900C88"/>
    <w:rsid w:val="0090452B"/>
    <w:rsid w:val="009117CA"/>
    <w:rsid w:val="0091183E"/>
    <w:rsid w:val="00912551"/>
    <w:rsid w:val="00914A2E"/>
    <w:rsid w:val="009151EE"/>
    <w:rsid w:val="0092060F"/>
    <w:rsid w:val="00924D70"/>
    <w:rsid w:val="00950803"/>
    <w:rsid w:val="00952050"/>
    <w:rsid w:val="00966B79"/>
    <w:rsid w:val="00972121"/>
    <w:rsid w:val="00985EC2"/>
    <w:rsid w:val="009901B3"/>
    <w:rsid w:val="00992C97"/>
    <w:rsid w:val="00995DE0"/>
    <w:rsid w:val="009A1CE4"/>
    <w:rsid w:val="009A5E9B"/>
    <w:rsid w:val="009A6D12"/>
    <w:rsid w:val="009A7C7B"/>
    <w:rsid w:val="009B3D1F"/>
    <w:rsid w:val="009B3ED1"/>
    <w:rsid w:val="009B5196"/>
    <w:rsid w:val="009E2F15"/>
    <w:rsid w:val="009E3FD2"/>
    <w:rsid w:val="009E50D0"/>
    <w:rsid w:val="009E735D"/>
    <w:rsid w:val="009F18B8"/>
    <w:rsid w:val="009F450F"/>
    <w:rsid w:val="00A20D83"/>
    <w:rsid w:val="00A25BBF"/>
    <w:rsid w:val="00A276BE"/>
    <w:rsid w:val="00A37687"/>
    <w:rsid w:val="00A408DA"/>
    <w:rsid w:val="00A50CAD"/>
    <w:rsid w:val="00A5452A"/>
    <w:rsid w:val="00A568C4"/>
    <w:rsid w:val="00A6146F"/>
    <w:rsid w:val="00A62B2D"/>
    <w:rsid w:val="00A80E14"/>
    <w:rsid w:val="00AB629D"/>
    <w:rsid w:val="00AD1EDA"/>
    <w:rsid w:val="00AD4CB5"/>
    <w:rsid w:val="00AE1CE2"/>
    <w:rsid w:val="00AF2D66"/>
    <w:rsid w:val="00B367CC"/>
    <w:rsid w:val="00B4046E"/>
    <w:rsid w:val="00B54748"/>
    <w:rsid w:val="00B54EA2"/>
    <w:rsid w:val="00B611D1"/>
    <w:rsid w:val="00B642BB"/>
    <w:rsid w:val="00B73F70"/>
    <w:rsid w:val="00B95AFD"/>
    <w:rsid w:val="00B95DA0"/>
    <w:rsid w:val="00B96B80"/>
    <w:rsid w:val="00BA31BC"/>
    <w:rsid w:val="00BB0C6E"/>
    <w:rsid w:val="00BB25DB"/>
    <w:rsid w:val="00BB353D"/>
    <w:rsid w:val="00BB4422"/>
    <w:rsid w:val="00BC2852"/>
    <w:rsid w:val="00BC59A9"/>
    <w:rsid w:val="00BC7FB3"/>
    <w:rsid w:val="00BD7006"/>
    <w:rsid w:val="00C0368F"/>
    <w:rsid w:val="00C07B1B"/>
    <w:rsid w:val="00C20CC2"/>
    <w:rsid w:val="00C246EE"/>
    <w:rsid w:val="00C3056A"/>
    <w:rsid w:val="00C3101F"/>
    <w:rsid w:val="00C51103"/>
    <w:rsid w:val="00C52F08"/>
    <w:rsid w:val="00C5648C"/>
    <w:rsid w:val="00C61D34"/>
    <w:rsid w:val="00C6342A"/>
    <w:rsid w:val="00C71284"/>
    <w:rsid w:val="00C83433"/>
    <w:rsid w:val="00CA7961"/>
    <w:rsid w:val="00CB521A"/>
    <w:rsid w:val="00CB67C9"/>
    <w:rsid w:val="00CC0587"/>
    <w:rsid w:val="00CC4AC0"/>
    <w:rsid w:val="00CD2087"/>
    <w:rsid w:val="00CD568F"/>
    <w:rsid w:val="00CD6292"/>
    <w:rsid w:val="00CF06EB"/>
    <w:rsid w:val="00CF4BD2"/>
    <w:rsid w:val="00D01A09"/>
    <w:rsid w:val="00D04C8F"/>
    <w:rsid w:val="00D073A9"/>
    <w:rsid w:val="00D1149E"/>
    <w:rsid w:val="00D11F5F"/>
    <w:rsid w:val="00D133D9"/>
    <w:rsid w:val="00D13C3E"/>
    <w:rsid w:val="00D179DB"/>
    <w:rsid w:val="00D311EE"/>
    <w:rsid w:val="00D84AEC"/>
    <w:rsid w:val="00D8795A"/>
    <w:rsid w:val="00D963FF"/>
    <w:rsid w:val="00D964BB"/>
    <w:rsid w:val="00DA057B"/>
    <w:rsid w:val="00DA4EA3"/>
    <w:rsid w:val="00DA5173"/>
    <w:rsid w:val="00DB1E5F"/>
    <w:rsid w:val="00DB2C75"/>
    <w:rsid w:val="00DB3654"/>
    <w:rsid w:val="00DC121F"/>
    <w:rsid w:val="00DD2891"/>
    <w:rsid w:val="00DD5744"/>
    <w:rsid w:val="00DE3AF9"/>
    <w:rsid w:val="00DE5CD2"/>
    <w:rsid w:val="00DF4A72"/>
    <w:rsid w:val="00E07033"/>
    <w:rsid w:val="00E1215C"/>
    <w:rsid w:val="00E21542"/>
    <w:rsid w:val="00E24154"/>
    <w:rsid w:val="00E247A1"/>
    <w:rsid w:val="00E33EAF"/>
    <w:rsid w:val="00E40245"/>
    <w:rsid w:val="00E656C7"/>
    <w:rsid w:val="00E9358A"/>
    <w:rsid w:val="00EA0EF4"/>
    <w:rsid w:val="00EA1059"/>
    <w:rsid w:val="00EB56D0"/>
    <w:rsid w:val="00EC5E29"/>
    <w:rsid w:val="00ED0BA6"/>
    <w:rsid w:val="00EE68BF"/>
    <w:rsid w:val="00EF1025"/>
    <w:rsid w:val="00EF7E49"/>
    <w:rsid w:val="00F133CF"/>
    <w:rsid w:val="00F25587"/>
    <w:rsid w:val="00F35A2D"/>
    <w:rsid w:val="00F404C6"/>
    <w:rsid w:val="00F42B45"/>
    <w:rsid w:val="00F42D60"/>
    <w:rsid w:val="00F43F5E"/>
    <w:rsid w:val="00F51667"/>
    <w:rsid w:val="00F52446"/>
    <w:rsid w:val="00F60DD7"/>
    <w:rsid w:val="00F81459"/>
    <w:rsid w:val="00F87206"/>
    <w:rsid w:val="00FA1A9B"/>
    <w:rsid w:val="00FA2DBF"/>
    <w:rsid w:val="00FA3A80"/>
    <w:rsid w:val="00FB12F0"/>
    <w:rsid w:val="00FB46CE"/>
    <w:rsid w:val="00FC3156"/>
    <w:rsid w:val="00FD4201"/>
    <w:rsid w:val="00FD66E8"/>
    <w:rsid w:val="00FE5F8E"/>
    <w:rsid w:val="00FE7A22"/>
    <w:rsid w:val="00FF37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D495F3"/>
  <w15:docId w15:val="{FB9964C3-7B62-4072-B430-97568542E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styleId="Textodeglobo">
    <w:name w:val="Balloon Text"/>
    <w:basedOn w:val="Normal"/>
    <w:link w:val="TextodegloboCar"/>
    <w:rsid w:val="00FE5F8E"/>
    <w:rPr>
      <w:rFonts w:ascii="Tahoma" w:hAnsi="Tahoma" w:cs="Tahoma"/>
      <w:sz w:val="16"/>
      <w:szCs w:val="16"/>
    </w:rPr>
  </w:style>
  <w:style w:type="character" w:customStyle="1" w:styleId="TextodegloboCar">
    <w:name w:val="Texto de globo Car"/>
    <w:basedOn w:val="Fuentedeprrafopredeter"/>
    <w:link w:val="Textodeglobo"/>
    <w:rsid w:val="00FE5F8E"/>
    <w:rPr>
      <w:rFonts w:ascii="Tahoma" w:hAnsi="Tahoma" w:cs="Tahoma"/>
      <w:sz w:val="16"/>
      <w:szCs w:val="16"/>
    </w:rPr>
  </w:style>
  <w:style w:type="paragraph" w:styleId="Prrafodelista">
    <w:name w:val="List Paragraph"/>
    <w:basedOn w:val="Normal"/>
    <w:uiPriority w:val="34"/>
    <w:qFormat/>
    <w:rsid w:val="00FE5F8E"/>
    <w:pPr>
      <w:ind w:left="720"/>
      <w:contextualSpacing/>
    </w:pPr>
  </w:style>
  <w:style w:type="table" w:styleId="Tablaconcuadrcula">
    <w:name w:val="Table Grid"/>
    <w:basedOn w:val="Tablanormal"/>
    <w:rsid w:val="003D10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basedOn w:val="Fuentedeprrafopredeter"/>
    <w:link w:val="Piedepgina"/>
    <w:uiPriority w:val="99"/>
    <w:rsid w:val="00761056"/>
    <w:rPr>
      <w:sz w:val="24"/>
      <w:szCs w:val="24"/>
    </w:rPr>
  </w:style>
  <w:style w:type="character" w:styleId="Hipervnculo">
    <w:name w:val="Hyperlink"/>
    <w:basedOn w:val="Fuentedeprrafopredeter"/>
    <w:rsid w:val="00761056"/>
    <w:rPr>
      <w:color w:val="0000FF" w:themeColor="hyperlink"/>
      <w:u w:val="single"/>
    </w:rPr>
  </w:style>
  <w:style w:type="character" w:styleId="Hipervnculovisitado">
    <w:name w:val="FollowedHyperlink"/>
    <w:basedOn w:val="Fuentedeprrafopredeter"/>
    <w:semiHidden/>
    <w:unhideWhenUsed/>
    <w:rsid w:val="009117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000349">
      <w:bodyDiv w:val="1"/>
      <w:marLeft w:val="0"/>
      <w:marRight w:val="0"/>
      <w:marTop w:val="0"/>
      <w:marBottom w:val="0"/>
      <w:divBdr>
        <w:top w:val="none" w:sz="0" w:space="0" w:color="auto"/>
        <w:left w:val="none" w:sz="0" w:space="0" w:color="auto"/>
        <w:bottom w:val="none" w:sz="0" w:space="0" w:color="auto"/>
        <w:right w:val="none" w:sz="0" w:space="0" w:color="auto"/>
      </w:divBdr>
    </w:div>
    <w:div w:id="891039160">
      <w:bodyDiv w:val="1"/>
      <w:marLeft w:val="0"/>
      <w:marRight w:val="0"/>
      <w:marTop w:val="0"/>
      <w:marBottom w:val="0"/>
      <w:divBdr>
        <w:top w:val="none" w:sz="0" w:space="0" w:color="auto"/>
        <w:left w:val="none" w:sz="0" w:space="0" w:color="auto"/>
        <w:bottom w:val="none" w:sz="0" w:space="0" w:color="auto"/>
        <w:right w:val="none" w:sz="0" w:space="0" w:color="auto"/>
      </w:divBdr>
    </w:div>
    <w:div w:id="1077436164">
      <w:bodyDiv w:val="1"/>
      <w:marLeft w:val="0"/>
      <w:marRight w:val="0"/>
      <w:marTop w:val="0"/>
      <w:marBottom w:val="0"/>
      <w:divBdr>
        <w:top w:val="none" w:sz="0" w:space="0" w:color="auto"/>
        <w:left w:val="none" w:sz="0" w:space="0" w:color="auto"/>
        <w:bottom w:val="none" w:sz="0" w:space="0" w:color="auto"/>
        <w:right w:val="none" w:sz="0" w:space="0" w:color="auto"/>
      </w:divBdr>
    </w:div>
    <w:div w:id="1263799234">
      <w:bodyDiv w:val="1"/>
      <w:marLeft w:val="0"/>
      <w:marRight w:val="0"/>
      <w:marTop w:val="0"/>
      <w:marBottom w:val="0"/>
      <w:divBdr>
        <w:top w:val="none" w:sz="0" w:space="0" w:color="auto"/>
        <w:left w:val="none" w:sz="0" w:space="0" w:color="auto"/>
        <w:bottom w:val="none" w:sz="0" w:space="0" w:color="auto"/>
        <w:right w:val="none" w:sz="0" w:space="0" w:color="auto"/>
      </w:divBdr>
    </w:div>
    <w:div w:id="1461417678">
      <w:bodyDiv w:val="1"/>
      <w:marLeft w:val="0"/>
      <w:marRight w:val="0"/>
      <w:marTop w:val="0"/>
      <w:marBottom w:val="0"/>
      <w:divBdr>
        <w:top w:val="none" w:sz="0" w:space="0" w:color="auto"/>
        <w:left w:val="none" w:sz="0" w:space="0" w:color="auto"/>
        <w:bottom w:val="none" w:sz="0" w:space="0" w:color="auto"/>
        <w:right w:val="none" w:sz="0" w:space="0" w:color="auto"/>
      </w:divBdr>
    </w:div>
    <w:div w:id="1551722226">
      <w:bodyDiv w:val="1"/>
      <w:marLeft w:val="0"/>
      <w:marRight w:val="0"/>
      <w:marTop w:val="0"/>
      <w:marBottom w:val="0"/>
      <w:divBdr>
        <w:top w:val="none" w:sz="0" w:space="0" w:color="auto"/>
        <w:left w:val="none" w:sz="0" w:space="0" w:color="auto"/>
        <w:bottom w:val="none" w:sz="0" w:space="0" w:color="auto"/>
        <w:right w:val="none" w:sz="0" w:space="0" w:color="auto"/>
      </w:divBdr>
    </w:div>
    <w:div w:id="159412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hyperlink" Target="https://www.poderjudicial.es/cgpj/es/Temas/Estadistica-Judicial/Estudios-e-Informes/Efecto-de-la-Crisis-en-los-organos-judiciales/" TargetMode="Externa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poderjudicial.es" TargetMode="External"/><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bauglir\estadistica\0%20CRISIS\A&#241;o%202021\Datos%20sobre%20el%20efecto%20de%20la%20crisis%20en%20los%20organos%20judiciales%202021.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1" Type="http://schemas.openxmlformats.org/officeDocument/2006/relationships/oleObject" Target="file:///\\bauglir\estadistica\0%20CRISIS\A&#241;o%202021\Datos%20sobre%20el%20efecto%20de%20la%20crisis%20en%20los%20organos%20judiciales%204T%20202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bauglir\estadistica\0%20CRISIS\A&#241;o%202020\Datos%20sobre%20el%20efecto%20de%20la%20crisis%20en%20los%20organos%20judiciales%204T%202020%20TSJ.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bauglir\estadistica\0%20CRISIS\A&#241;o%202021\Datos%20sobre%20el%20efecto%20de%20la%20crisis%20en%20los%20organos%20judiciales%204T%202021.xlsx" TargetMode="External"/><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oleObject" Target="file:///\\bauglir\estadistica\0%20CRISIS\A&#241;o%202021\Datos%20sobre%20el%20efecto%20de%20la%20crisis%20en%20los%20organos%20judiciales%204T%202021.xlsx" TargetMode="External"/><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1" Type="http://schemas.openxmlformats.org/officeDocument/2006/relationships/oleObject" Target="file:///\\bauglir\estadistica\0%20CRISIS\A&#241;o%202021\Datos%20sobre%20el%20efecto%20de%20la%20crisis%20en%20los%20organos%20judiciales%204T%202021.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bauglir\estadistica\0%20CRISIS\A&#241;o%202021\Datos%20sobre%20el%20efecto%20de%20la%20crisis%20en%20los%20organos%20judiciales%204T%202021.xlsx" TargetMode="External"/><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oleObject" Target="file:///\\bauglir\estadistica\0%20CRISIS\A&#241;o%202021\Datos%20sobre%20el%20efecto%20de%20la%20crisis%20en%20los%20organos%20judiciales%204T%202021.xlsx" TargetMode="External"/><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oleObject" Target="file:///\\bauglir\estadistica\0%20CRISIS\A&#241;o%202021\Datos%20sobre%20el%20efecto%20de%20la%20crisis%20en%20los%20organos%20judiciales%204T%202021.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bauglir\estadistica\0%20CRISIS\A&#241;o%202021\Datos%20sobre%20el%20efecto%20de%20la%20crisis%20en%20los%20organos%20judiciales%202021.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bauglir\estadistica\0%20CRISIS\A&#241;o%202021\Datos%20sobre%20el%20efecto%20de%20la%20crisis%20en%20los%20organos%20judiciales%204T%202021.xlsx" TargetMode="External"/><Relationship Id="rId2" Type="http://schemas.microsoft.com/office/2011/relationships/chartColorStyle" Target="colors16.xml"/><Relationship Id="rId1" Type="http://schemas.microsoft.com/office/2011/relationships/chartStyle" Target="style16.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bauglir\estadistica\0%20CRISIS\A&#241;o%202021\Datos%20sobre%20el%20efecto%20de%20la%20crisis%20en%20los%20organos%20judiciales%20202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bauglir\estadistica\0%20CRISIS\A&#241;o%202021\Datos%20sobre%20el%20efecto%20de%20la%20crisis%20en%20los%20organos%20judiciales%20202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bauglir\estadistica\0%20CRISIS\A&#241;o%202021\Datos%20sobre%20el%20efecto%20de%20la%20crisis%20en%20los%20organos%20judiciales%202021.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bauglir\estadistica\0%20CRISIS\A&#241;o%202021\Datos%20sobre%20el%20efecto%20de%20la%20crisis%20en%20los%20organos%20judiciales%202021.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bauglir\estadistica\0%20CRISIS\A&#241;o%202021\Datos%20sobre%20el%20efecto%20de%20la%20crisis%20en%20los%20organos%20judiciales%202021.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bauglir\estadistica\0%20CRISIS\A&#241;o%202021\Datos%20sobre%20el%20efecto%20de%20la%20crisis%20en%20los%20organos%20judiciales%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1"/>
              <a:t>Concursos de persona natural no empresario presentados en 2021 por cada 100.000 habitantes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5.5619764267663969E-2"/>
          <c:y val="0.29792897247067418"/>
          <c:w val="0.92339787998603184"/>
          <c:h val="0.3230452989492818"/>
        </c:manualLayout>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'Concursos p.n. presentados TSJ '!$B$54:$B$70</c:f>
              <c:strCache>
                <c:ptCount val="17"/>
                <c:pt idx="0">
                  <c:v>ANDALUCÍA</c:v>
                </c:pt>
                <c:pt idx="1">
                  <c:v>ARAGÓN</c:v>
                </c:pt>
                <c:pt idx="2">
                  <c:v>ASTURIAS, PRINCIPADO</c:v>
                </c:pt>
                <c:pt idx="3">
                  <c:v>ILLES BALEARS</c:v>
                </c:pt>
                <c:pt idx="4">
                  <c:v>CANARIAS</c:v>
                </c:pt>
                <c:pt idx="5">
                  <c:v>CANTABRIA</c:v>
                </c:pt>
                <c:pt idx="6">
                  <c:v>CASTILLA - LEÓN</c:v>
                </c:pt>
                <c:pt idx="7">
                  <c:v>CASTILLA - LA MANCHA</c:v>
                </c:pt>
                <c:pt idx="8">
                  <c:v>CATALUÑA</c:v>
                </c:pt>
                <c:pt idx="9">
                  <c:v>C. VALENCIANA</c:v>
                </c:pt>
                <c:pt idx="10">
                  <c:v>EXTREMADURA</c:v>
                </c:pt>
                <c:pt idx="11">
                  <c:v>GALICIA</c:v>
                </c:pt>
                <c:pt idx="12">
                  <c:v>MADRID, COMUNIDAD</c:v>
                </c:pt>
                <c:pt idx="13">
                  <c:v>MURCIA, REGIÓN</c:v>
                </c:pt>
                <c:pt idx="14">
                  <c:v>NAVARRA, COM. FORAL</c:v>
                </c:pt>
                <c:pt idx="15">
                  <c:v>PAÍS VASCO</c:v>
                </c:pt>
                <c:pt idx="16">
                  <c:v>LA RIOJA</c:v>
                </c:pt>
              </c:strCache>
            </c:strRef>
          </c:cat>
          <c:val>
            <c:numRef>
              <c:f>'Concursos p.n. presentados TSJ '!$C$54:$C$70</c:f>
              <c:numCache>
                <c:formatCode>#,##0.0</c:formatCode>
                <c:ptCount val="17"/>
                <c:pt idx="0">
                  <c:v>15.123490182170366</c:v>
                </c:pt>
                <c:pt idx="1">
                  <c:v>24.504980543045448</c:v>
                </c:pt>
                <c:pt idx="2">
                  <c:v>22.534275819536031</c:v>
                </c:pt>
                <c:pt idx="3">
                  <c:v>21.994734903768769</c:v>
                </c:pt>
                <c:pt idx="4">
                  <c:v>27.014041779263525</c:v>
                </c:pt>
                <c:pt idx="5">
                  <c:v>9.2385548847148105</c:v>
                </c:pt>
                <c:pt idx="6">
                  <c:v>11.497440980152646</c:v>
                </c:pt>
                <c:pt idx="7">
                  <c:v>19.613946784727663</c:v>
                </c:pt>
                <c:pt idx="8">
                  <c:v>34.031647628952506</c:v>
                </c:pt>
                <c:pt idx="9">
                  <c:v>24.574260330580145</c:v>
                </c:pt>
                <c:pt idx="10">
                  <c:v>13.024999504483715</c:v>
                </c:pt>
                <c:pt idx="11">
                  <c:v>15.061330405153496</c:v>
                </c:pt>
                <c:pt idx="12">
                  <c:v>24.602847679637449</c:v>
                </c:pt>
                <c:pt idx="13">
                  <c:v>19.427245295643161</c:v>
                </c:pt>
                <c:pt idx="14">
                  <c:v>8.9186243551003201</c:v>
                </c:pt>
                <c:pt idx="15">
                  <c:v>5.3749040760291473</c:v>
                </c:pt>
                <c:pt idx="16">
                  <c:v>2.5015947666637484</c:v>
                </c:pt>
              </c:numCache>
            </c:numRef>
          </c:val>
          <c:extLst>
            <c:ext xmlns:c16="http://schemas.microsoft.com/office/drawing/2014/chart" uri="{C3380CC4-5D6E-409C-BE32-E72D297353CC}">
              <c16:uniqueId val="{00000000-DC8D-4132-AA53-B02564AFA06C}"/>
            </c:ext>
          </c:extLst>
        </c:ser>
        <c:dLbls>
          <c:showLegendKey val="0"/>
          <c:showVal val="0"/>
          <c:showCatName val="0"/>
          <c:showSerName val="0"/>
          <c:showPercent val="0"/>
          <c:showBubbleSize val="0"/>
        </c:dLbls>
        <c:gapWidth val="219"/>
        <c:overlap val="-27"/>
        <c:axId val="743087712"/>
        <c:axId val="743088040"/>
      </c:barChart>
      <c:catAx>
        <c:axId val="74308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50" b="1" i="0" u="none" strike="noStrike" kern="1200" baseline="0">
                <a:solidFill>
                  <a:schemeClr val="tx1">
                    <a:lumMod val="65000"/>
                    <a:lumOff val="35000"/>
                  </a:schemeClr>
                </a:solidFill>
                <a:latin typeface="Verdana" panose="020B0604030504040204" pitchFamily="34" charset="0"/>
                <a:ea typeface="+mn-ea"/>
                <a:cs typeface="+mn-cs"/>
              </a:defRPr>
            </a:pPr>
            <a:endParaRPr lang="es-ES"/>
          </a:p>
        </c:txPr>
        <c:crossAx val="743088040"/>
        <c:crosses val="autoZero"/>
        <c:auto val="1"/>
        <c:lblAlgn val="ctr"/>
        <c:lblOffset val="100"/>
        <c:noMultiLvlLbl val="0"/>
      </c:catAx>
      <c:valAx>
        <c:axId val="743088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ES"/>
          </a:p>
        </c:txPr>
        <c:crossAx val="743087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Verdana"/>
                <a:ea typeface="Verdana"/>
                <a:cs typeface="Verdana"/>
              </a:defRPr>
            </a:pPr>
            <a:r>
              <a:rPr lang="es-ES"/>
              <a:t>Lanzamientos practicados</a:t>
            </a:r>
          </a:p>
        </c:rich>
      </c:tx>
      <c:overlay val="0"/>
    </c:title>
    <c:autoTitleDeleted val="0"/>
    <c:plotArea>
      <c:layout/>
      <c:lineChart>
        <c:grouping val="standard"/>
        <c:varyColors val="0"/>
        <c:ser>
          <c:idx val="0"/>
          <c:order val="0"/>
          <c:tx>
            <c:v>Derivados de Ej. hipotecarias</c:v>
          </c:tx>
          <c:cat>
            <c:strRef>
              <c:f>Resumen!$B$222:$B$231</c:f>
              <c:strCache>
                <c:ptCount val="10"/>
                <c:pt idx="0">
                  <c:v>19-T3</c:v>
                </c:pt>
                <c:pt idx="1">
                  <c:v>19-T4</c:v>
                </c:pt>
                <c:pt idx="2">
                  <c:v>20-T1</c:v>
                </c:pt>
                <c:pt idx="3">
                  <c:v>20-T2</c:v>
                </c:pt>
                <c:pt idx="4">
                  <c:v>20-T3</c:v>
                </c:pt>
                <c:pt idx="5">
                  <c:v>20-T4</c:v>
                </c:pt>
                <c:pt idx="6">
                  <c:v>21-T1</c:v>
                </c:pt>
                <c:pt idx="7">
                  <c:v>21-T2</c:v>
                </c:pt>
                <c:pt idx="8">
                  <c:v>21-T3</c:v>
                </c:pt>
                <c:pt idx="9">
                  <c:v>21-T4</c:v>
                </c:pt>
              </c:strCache>
            </c:strRef>
          </c:cat>
          <c:val>
            <c:numRef>
              <c:f>Resumen!$E$222:$E$231</c:f>
              <c:numCache>
                <c:formatCode>#,##0</c:formatCode>
                <c:ptCount val="10"/>
                <c:pt idx="0">
                  <c:v>2527</c:v>
                </c:pt>
                <c:pt idx="1">
                  <c:v>3503</c:v>
                </c:pt>
                <c:pt idx="2">
                  <c:v>2392</c:v>
                </c:pt>
                <c:pt idx="3">
                  <c:v>300</c:v>
                </c:pt>
                <c:pt idx="4">
                  <c:v>1564</c:v>
                </c:pt>
                <c:pt idx="5">
                  <c:v>2659</c:v>
                </c:pt>
                <c:pt idx="6">
                  <c:v>2548</c:v>
                </c:pt>
                <c:pt idx="7">
                  <c:v>2849</c:v>
                </c:pt>
                <c:pt idx="8">
                  <c:v>2203</c:v>
                </c:pt>
                <c:pt idx="9">
                  <c:v>2503</c:v>
                </c:pt>
              </c:numCache>
            </c:numRef>
          </c:val>
          <c:smooth val="0"/>
          <c:extLst>
            <c:ext xmlns:c16="http://schemas.microsoft.com/office/drawing/2014/chart" uri="{C3380CC4-5D6E-409C-BE32-E72D297353CC}">
              <c16:uniqueId val="{00000000-3CCB-4EF7-83DD-63ED961FD7BC}"/>
            </c:ext>
          </c:extLst>
        </c:ser>
        <c:ser>
          <c:idx val="1"/>
          <c:order val="1"/>
          <c:tx>
            <c:v>Derivados LAU</c:v>
          </c:tx>
          <c:cat>
            <c:strRef>
              <c:f>Resumen!$B$222:$B$231</c:f>
              <c:strCache>
                <c:ptCount val="10"/>
                <c:pt idx="0">
                  <c:v>19-T3</c:v>
                </c:pt>
                <c:pt idx="1">
                  <c:v>19-T4</c:v>
                </c:pt>
                <c:pt idx="2">
                  <c:v>20-T1</c:v>
                </c:pt>
                <c:pt idx="3">
                  <c:v>20-T2</c:v>
                </c:pt>
                <c:pt idx="4">
                  <c:v>20-T3</c:v>
                </c:pt>
                <c:pt idx="5">
                  <c:v>20-T4</c:v>
                </c:pt>
                <c:pt idx="6">
                  <c:v>21-T1</c:v>
                </c:pt>
                <c:pt idx="7">
                  <c:v>21-T2</c:v>
                </c:pt>
                <c:pt idx="8">
                  <c:v>21-T3</c:v>
                </c:pt>
                <c:pt idx="9">
                  <c:v>21-T4</c:v>
                </c:pt>
              </c:strCache>
            </c:strRef>
          </c:cat>
          <c:val>
            <c:numRef>
              <c:f>Resumen!$G$222:$G$231</c:f>
              <c:numCache>
                <c:formatCode>#,##0</c:formatCode>
                <c:ptCount val="10"/>
                <c:pt idx="0">
                  <c:v>6957</c:v>
                </c:pt>
                <c:pt idx="1">
                  <c:v>9310</c:v>
                </c:pt>
                <c:pt idx="2">
                  <c:v>6896</c:v>
                </c:pt>
                <c:pt idx="3">
                  <c:v>1013</c:v>
                </c:pt>
                <c:pt idx="4">
                  <c:v>5190</c:v>
                </c:pt>
                <c:pt idx="5">
                  <c:v>8046</c:v>
                </c:pt>
                <c:pt idx="6">
                  <c:v>7862</c:v>
                </c:pt>
                <c:pt idx="7">
                  <c:v>8031</c:v>
                </c:pt>
                <c:pt idx="8">
                  <c:v>5999</c:v>
                </c:pt>
                <c:pt idx="9">
                  <c:v>7097</c:v>
                </c:pt>
              </c:numCache>
            </c:numRef>
          </c:val>
          <c:smooth val="0"/>
          <c:extLst>
            <c:ext xmlns:c16="http://schemas.microsoft.com/office/drawing/2014/chart" uri="{C3380CC4-5D6E-409C-BE32-E72D297353CC}">
              <c16:uniqueId val="{00000001-3CCB-4EF7-83DD-63ED961FD7BC}"/>
            </c:ext>
          </c:extLst>
        </c:ser>
        <c:dLbls>
          <c:showLegendKey val="0"/>
          <c:showVal val="0"/>
          <c:showCatName val="0"/>
          <c:showSerName val="0"/>
          <c:showPercent val="0"/>
          <c:showBubbleSize val="0"/>
        </c:dLbls>
        <c:marker val="1"/>
        <c:smooth val="0"/>
        <c:axId val="201989120"/>
        <c:axId val="222845696"/>
      </c:lineChart>
      <c:catAx>
        <c:axId val="201989120"/>
        <c:scaling>
          <c:orientation val="minMax"/>
        </c:scaling>
        <c:delete val="0"/>
        <c:axPos val="b"/>
        <c:numFmt formatCode="General" sourceLinked="1"/>
        <c:majorTickMark val="none"/>
        <c:minorTickMark val="none"/>
        <c:tickLblPos val="nextTo"/>
        <c:txPr>
          <a:bodyPr rot="-2700000" vert="horz"/>
          <a:lstStyle/>
          <a:p>
            <a:pPr>
              <a:defRPr sz="900" b="1" i="0" u="none" strike="noStrike" baseline="0">
                <a:solidFill>
                  <a:srgbClr val="000000"/>
                </a:solidFill>
                <a:latin typeface="Verdana"/>
                <a:ea typeface="Verdana"/>
                <a:cs typeface="Verdana"/>
              </a:defRPr>
            </a:pPr>
            <a:endParaRPr lang="es-ES"/>
          </a:p>
        </c:txPr>
        <c:crossAx val="222845696"/>
        <c:crosses val="autoZero"/>
        <c:auto val="1"/>
        <c:lblAlgn val="ctr"/>
        <c:lblOffset val="100"/>
        <c:noMultiLvlLbl val="0"/>
      </c:catAx>
      <c:valAx>
        <c:axId val="222845696"/>
        <c:scaling>
          <c:orientation val="minMax"/>
          <c:min val="300"/>
        </c:scaling>
        <c:delete val="0"/>
        <c:axPos val="l"/>
        <c:majorGridlines/>
        <c:numFmt formatCode="#,##0" sourceLinked="1"/>
        <c:majorTickMark val="none"/>
        <c:minorTickMark val="none"/>
        <c:tickLblPos val="nextTo"/>
        <c:txPr>
          <a:bodyPr rot="0" vert="horz"/>
          <a:lstStyle/>
          <a:p>
            <a:pPr>
              <a:defRPr sz="900" b="1" i="0" u="none" strike="noStrike" baseline="0">
                <a:solidFill>
                  <a:srgbClr val="000000"/>
                </a:solidFill>
                <a:latin typeface="Verdana"/>
                <a:ea typeface="Verdana"/>
                <a:cs typeface="Verdana"/>
              </a:defRPr>
            </a:pPr>
            <a:endParaRPr lang="es-ES"/>
          </a:p>
        </c:txPr>
        <c:crossAx val="201989120"/>
        <c:crosses val="autoZero"/>
        <c:crossBetween val="between"/>
      </c:valAx>
    </c:plotArea>
    <c:legend>
      <c:legendPos val="r"/>
      <c:overlay val="0"/>
      <c:txPr>
        <a:bodyPr/>
        <a:lstStyle/>
        <a:p>
          <a:pPr>
            <a:defRPr sz="525" b="1" i="0" u="none" strike="noStrike" baseline="0">
              <a:solidFill>
                <a:srgbClr val="000000"/>
              </a:solidFill>
              <a:latin typeface="Verdana"/>
              <a:ea typeface="Verdana"/>
              <a:cs typeface="Verdana"/>
            </a:defRPr>
          </a:pPr>
          <a:endParaRPr lang="es-ES"/>
        </a:p>
      </c:txPr>
    </c:legend>
    <c:plotVisOnly val="1"/>
    <c:dispBlanksAs val="gap"/>
    <c:showDLblsOverMax val="0"/>
  </c:chart>
  <c:spPr>
    <a:ln>
      <a:noFill/>
    </a:ln>
  </c:spPr>
  <c:txPr>
    <a:bodyPr/>
    <a:lstStyle/>
    <a:p>
      <a:pPr>
        <a:defRPr sz="1000" b="0" i="0" u="none" strike="noStrike" baseline="0">
          <a:solidFill>
            <a:srgbClr val="000000"/>
          </a:solidFill>
          <a:latin typeface="Verdana"/>
          <a:ea typeface="Verdana"/>
          <a:cs typeface="Verdana"/>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58092738407698"/>
          <c:y val="3.2824074074074075E-2"/>
          <c:w val="0.8497524059492565"/>
          <c:h val="0.50139909594634002"/>
        </c:manualLayout>
      </c:layout>
      <c:barChart>
        <c:barDir val="col"/>
        <c:grouping val="clustered"/>
        <c:varyColors val="0"/>
        <c:ser>
          <c:idx val="2"/>
          <c:order val="0"/>
          <c:tx>
            <c:strRef>
              <c:f>Hoja1!$E$1</c:f>
              <c:strCache>
                <c:ptCount val="1"/>
                <c:pt idx="0">
                  <c:v>Derivados E.H</c:v>
                </c:pt>
              </c:strCache>
            </c:strRef>
          </c:tx>
          <c:spPr>
            <a:solidFill>
              <a:schemeClr val="accent1">
                <a:lumMod val="75000"/>
              </a:schemeClr>
            </a:solidFill>
            <a:ln>
              <a:noFill/>
            </a:ln>
            <a:effectLst/>
          </c:spPr>
          <c:invertIfNegative val="0"/>
          <c:cat>
            <c:strRef>
              <c:f>Hoja1!$D$3:$D$19</c:f>
              <c:strCache>
                <c:ptCount val="17"/>
                <c:pt idx="0">
                  <c:v>ANDALUCÍA</c:v>
                </c:pt>
                <c:pt idx="1">
                  <c:v>ARAGÓN</c:v>
                </c:pt>
                <c:pt idx="2">
                  <c:v>ASTURIAS, PRINCIPADO</c:v>
                </c:pt>
                <c:pt idx="3">
                  <c:v>ILLES BALEARS</c:v>
                </c:pt>
                <c:pt idx="4">
                  <c:v>CANARIAS</c:v>
                </c:pt>
                <c:pt idx="5">
                  <c:v>CANTABRIA</c:v>
                </c:pt>
                <c:pt idx="6">
                  <c:v>CASTILLA Y LEÓN</c:v>
                </c:pt>
                <c:pt idx="7">
                  <c:v>CASTILLA - LA MANCHA</c:v>
                </c:pt>
                <c:pt idx="8">
                  <c:v>CATALUÑA</c:v>
                </c:pt>
                <c:pt idx="9">
                  <c:v>COMUNITAT VALENCIANA</c:v>
                </c:pt>
                <c:pt idx="10">
                  <c:v>EXTREMADURA</c:v>
                </c:pt>
                <c:pt idx="11">
                  <c:v>GALICIA</c:v>
                </c:pt>
                <c:pt idx="12">
                  <c:v>MADRID, COMUNIDAD</c:v>
                </c:pt>
                <c:pt idx="13">
                  <c:v>MURCIA, REGIÓN</c:v>
                </c:pt>
                <c:pt idx="14">
                  <c:v>NAVARRA, COM. FORAL</c:v>
                </c:pt>
                <c:pt idx="15">
                  <c:v>PAÍS VASCO</c:v>
                </c:pt>
                <c:pt idx="16">
                  <c:v>LA RIOJA</c:v>
                </c:pt>
              </c:strCache>
            </c:strRef>
          </c:cat>
          <c:val>
            <c:numRef>
              <c:f>Hoja1!$E$3:$E$19</c:f>
              <c:numCache>
                <c:formatCode>General</c:formatCode>
                <c:ptCount val="17"/>
                <c:pt idx="0">
                  <c:v>419</c:v>
                </c:pt>
                <c:pt idx="1">
                  <c:v>48</c:v>
                </c:pt>
                <c:pt idx="2">
                  <c:v>31</c:v>
                </c:pt>
                <c:pt idx="3">
                  <c:v>25</c:v>
                </c:pt>
                <c:pt idx="4">
                  <c:v>124</c:v>
                </c:pt>
                <c:pt idx="5">
                  <c:v>13</c:v>
                </c:pt>
                <c:pt idx="6">
                  <c:v>163</c:v>
                </c:pt>
                <c:pt idx="7">
                  <c:v>128</c:v>
                </c:pt>
                <c:pt idx="8">
                  <c:v>479</c:v>
                </c:pt>
                <c:pt idx="9">
                  <c:v>552</c:v>
                </c:pt>
                <c:pt idx="10">
                  <c:v>28</c:v>
                </c:pt>
                <c:pt idx="11">
                  <c:v>82</c:v>
                </c:pt>
                <c:pt idx="12">
                  <c:v>123</c:v>
                </c:pt>
                <c:pt idx="13">
                  <c:v>229</c:v>
                </c:pt>
                <c:pt idx="14">
                  <c:v>6</c:v>
                </c:pt>
                <c:pt idx="15">
                  <c:v>41</c:v>
                </c:pt>
                <c:pt idx="16">
                  <c:v>12</c:v>
                </c:pt>
              </c:numCache>
            </c:numRef>
          </c:val>
          <c:extLst>
            <c:ext xmlns:c16="http://schemas.microsoft.com/office/drawing/2014/chart" uri="{C3380CC4-5D6E-409C-BE32-E72D297353CC}">
              <c16:uniqueId val="{00000000-3487-4063-B219-85742CBA6C10}"/>
            </c:ext>
          </c:extLst>
        </c:ser>
        <c:ser>
          <c:idx val="3"/>
          <c:order val="1"/>
          <c:tx>
            <c:strRef>
              <c:f>Hoja1!$F$1</c:f>
              <c:strCache>
                <c:ptCount val="1"/>
                <c:pt idx="0">
                  <c:v>Derivados L.A.U</c:v>
                </c:pt>
              </c:strCache>
            </c:strRef>
          </c:tx>
          <c:spPr>
            <a:solidFill>
              <a:srgbClr val="FFFF00"/>
            </a:solidFill>
            <a:ln>
              <a:solidFill>
                <a:schemeClr val="accent1"/>
              </a:solidFill>
            </a:ln>
            <a:effectLst/>
          </c:spPr>
          <c:invertIfNegative val="0"/>
          <c:cat>
            <c:strRef>
              <c:f>Hoja1!$D$3:$D$19</c:f>
              <c:strCache>
                <c:ptCount val="17"/>
                <c:pt idx="0">
                  <c:v>ANDALUCÍA</c:v>
                </c:pt>
                <c:pt idx="1">
                  <c:v>ARAGÓN</c:v>
                </c:pt>
                <c:pt idx="2">
                  <c:v>ASTURIAS, PRINCIPADO</c:v>
                </c:pt>
                <c:pt idx="3">
                  <c:v>ILLES BALEARS</c:v>
                </c:pt>
                <c:pt idx="4">
                  <c:v>CANARIAS</c:v>
                </c:pt>
                <c:pt idx="5">
                  <c:v>CANTABRIA</c:v>
                </c:pt>
                <c:pt idx="6">
                  <c:v>CASTILLA Y LEÓN</c:v>
                </c:pt>
                <c:pt idx="7">
                  <c:v>CASTILLA - LA MANCHA</c:v>
                </c:pt>
                <c:pt idx="8">
                  <c:v>CATALUÑA</c:v>
                </c:pt>
                <c:pt idx="9">
                  <c:v>COMUNITAT VALENCIANA</c:v>
                </c:pt>
                <c:pt idx="10">
                  <c:v>EXTREMADURA</c:v>
                </c:pt>
                <c:pt idx="11">
                  <c:v>GALICIA</c:v>
                </c:pt>
                <c:pt idx="12">
                  <c:v>MADRID, COMUNIDAD</c:v>
                </c:pt>
                <c:pt idx="13">
                  <c:v>MURCIA, REGIÓN</c:v>
                </c:pt>
                <c:pt idx="14">
                  <c:v>NAVARRA, COM. FORAL</c:v>
                </c:pt>
                <c:pt idx="15">
                  <c:v>PAÍS VASCO</c:v>
                </c:pt>
                <c:pt idx="16">
                  <c:v>LA RIOJA</c:v>
                </c:pt>
              </c:strCache>
            </c:strRef>
          </c:cat>
          <c:val>
            <c:numRef>
              <c:f>Hoja1!$F$3:$F$19</c:f>
              <c:numCache>
                <c:formatCode>#,##0</c:formatCode>
                <c:ptCount val="17"/>
                <c:pt idx="0">
                  <c:v>1081</c:v>
                </c:pt>
                <c:pt idx="1">
                  <c:v>130</c:v>
                </c:pt>
                <c:pt idx="2">
                  <c:v>154</c:v>
                </c:pt>
                <c:pt idx="3">
                  <c:v>243</c:v>
                </c:pt>
                <c:pt idx="4">
                  <c:v>507</c:v>
                </c:pt>
                <c:pt idx="5">
                  <c:v>83</c:v>
                </c:pt>
                <c:pt idx="6">
                  <c:v>262</c:v>
                </c:pt>
                <c:pt idx="7">
                  <c:v>196</c:v>
                </c:pt>
                <c:pt idx="8">
                  <c:v>1646</c:v>
                </c:pt>
                <c:pt idx="9">
                  <c:v>956</c:v>
                </c:pt>
                <c:pt idx="10">
                  <c:v>72</c:v>
                </c:pt>
                <c:pt idx="11">
                  <c:v>345</c:v>
                </c:pt>
                <c:pt idx="12">
                  <c:v>883</c:v>
                </c:pt>
                <c:pt idx="13">
                  <c:v>283</c:v>
                </c:pt>
                <c:pt idx="14">
                  <c:v>52</c:v>
                </c:pt>
                <c:pt idx="15">
                  <c:v>161</c:v>
                </c:pt>
                <c:pt idx="16">
                  <c:v>43</c:v>
                </c:pt>
              </c:numCache>
            </c:numRef>
          </c:val>
          <c:extLst>
            <c:ext xmlns:c16="http://schemas.microsoft.com/office/drawing/2014/chart" uri="{C3380CC4-5D6E-409C-BE32-E72D297353CC}">
              <c16:uniqueId val="{00000001-3487-4063-B219-85742CBA6C10}"/>
            </c:ext>
          </c:extLst>
        </c:ser>
        <c:dLbls>
          <c:showLegendKey val="0"/>
          <c:showVal val="0"/>
          <c:showCatName val="0"/>
          <c:showSerName val="0"/>
          <c:showPercent val="0"/>
          <c:showBubbleSize val="0"/>
        </c:dLbls>
        <c:gapWidth val="219"/>
        <c:overlap val="-27"/>
        <c:axId val="746290271"/>
        <c:axId val="746282367"/>
      </c:barChart>
      <c:catAx>
        <c:axId val="746290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46282367"/>
        <c:crosses val="autoZero"/>
        <c:auto val="1"/>
        <c:lblAlgn val="ctr"/>
        <c:lblOffset val="100"/>
        <c:noMultiLvlLbl val="0"/>
      </c:catAx>
      <c:valAx>
        <c:axId val="746282367"/>
        <c:scaling>
          <c:orientation val="minMax"/>
          <c:max val="18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46290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Verdana"/>
                <a:ea typeface="Verdana"/>
                <a:cs typeface="Verdana"/>
              </a:defRPr>
            </a:pPr>
            <a:r>
              <a:rPr lang="es-ES"/>
              <a:t>Ejecuciones hipotecarias ingresadas</a:t>
            </a:r>
          </a:p>
        </c:rich>
      </c:tx>
      <c:overlay val="0"/>
    </c:title>
    <c:autoTitleDeleted val="0"/>
    <c:plotArea>
      <c:layout/>
      <c:lineChart>
        <c:grouping val="standard"/>
        <c:varyColors val="0"/>
        <c:ser>
          <c:idx val="0"/>
          <c:order val="0"/>
          <c:tx>
            <c:strRef>
              <c:f>Resumen!$C$132</c:f>
              <c:strCache>
                <c:ptCount val="1"/>
                <c:pt idx="0">
                  <c:v>Ej. Hipotecarias</c:v>
                </c:pt>
              </c:strCache>
            </c:strRef>
          </c:tx>
          <c:cat>
            <c:strRef>
              <c:f>Resumen!$B$160:$B$192</c:f>
              <c:strCache>
                <c:ptCount val="33"/>
                <c:pt idx="0">
                  <c:v>13-T4</c:v>
                </c:pt>
                <c:pt idx="1">
                  <c:v>14-T1</c:v>
                </c:pt>
                <c:pt idx="2">
                  <c:v>14-T2</c:v>
                </c:pt>
                <c:pt idx="3">
                  <c:v>14-T3</c:v>
                </c:pt>
                <c:pt idx="4">
                  <c:v>14-T4</c:v>
                </c:pt>
                <c:pt idx="5">
                  <c:v>15-T1</c:v>
                </c:pt>
                <c:pt idx="6">
                  <c:v>15-T2</c:v>
                </c:pt>
                <c:pt idx="7">
                  <c:v>15-T3</c:v>
                </c:pt>
                <c:pt idx="8">
                  <c:v>15-T4</c:v>
                </c:pt>
                <c:pt idx="9">
                  <c:v>16-T1</c:v>
                </c:pt>
                <c:pt idx="10">
                  <c:v>16-T2</c:v>
                </c:pt>
                <c:pt idx="11">
                  <c:v>16-T3</c:v>
                </c:pt>
                <c:pt idx="12">
                  <c:v>16-T4</c:v>
                </c:pt>
                <c:pt idx="13">
                  <c:v>17-T1</c:v>
                </c:pt>
                <c:pt idx="14">
                  <c:v>17-T2</c:v>
                </c:pt>
                <c:pt idx="15">
                  <c:v>17-T3</c:v>
                </c:pt>
                <c:pt idx="16">
                  <c:v>17-T4</c:v>
                </c:pt>
                <c:pt idx="17">
                  <c:v>18-T1</c:v>
                </c:pt>
                <c:pt idx="18">
                  <c:v>18-T2</c:v>
                </c:pt>
                <c:pt idx="19">
                  <c:v>18-T3</c:v>
                </c:pt>
                <c:pt idx="20">
                  <c:v>18-T4</c:v>
                </c:pt>
                <c:pt idx="21">
                  <c:v>19-T1</c:v>
                </c:pt>
                <c:pt idx="22">
                  <c:v>19-T2</c:v>
                </c:pt>
                <c:pt idx="23">
                  <c:v>19-T3</c:v>
                </c:pt>
                <c:pt idx="24">
                  <c:v>19-T4</c:v>
                </c:pt>
                <c:pt idx="25">
                  <c:v>20-T1</c:v>
                </c:pt>
                <c:pt idx="26">
                  <c:v>20-T2</c:v>
                </c:pt>
                <c:pt idx="27">
                  <c:v>20-T3</c:v>
                </c:pt>
                <c:pt idx="28">
                  <c:v>20-T4</c:v>
                </c:pt>
                <c:pt idx="29">
                  <c:v>21-T1</c:v>
                </c:pt>
                <c:pt idx="30">
                  <c:v>21-T2</c:v>
                </c:pt>
                <c:pt idx="31">
                  <c:v>21-T3</c:v>
                </c:pt>
                <c:pt idx="32">
                  <c:v>21-T4</c:v>
                </c:pt>
              </c:strCache>
            </c:strRef>
          </c:cat>
          <c:val>
            <c:numRef>
              <c:f>Resumen!$C$160:$C$192</c:f>
              <c:numCache>
                <c:formatCode>#,##0</c:formatCode>
                <c:ptCount val="33"/>
                <c:pt idx="0">
                  <c:v>24076</c:v>
                </c:pt>
                <c:pt idx="1">
                  <c:v>24226</c:v>
                </c:pt>
                <c:pt idx="2">
                  <c:v>21178</c:v>
                </c:pt>
                <c:pt idx="3">
                  <c:v>16767</c:v>
                </c:pt>
                <c:pt idx="4">
                  <c:v>18578</c:v>
                </c:pt>
                <c:pt idx="5">
                  <c:v>20201</c:v>
                </c:pt>
                <c:pt idx="6">
                  <c:v>17414</c:v>
                </c:pt>
                <c:pt idx="7">
                  <c:v>14735</c:v>
                </c:pt>
                <c:pt idx="8">
                  <c:v>15785</c:v>
                </c:pt>
                <c:pt idx="9">
                  <c:v>14205</c:v>
                </c:pt>
                <c:pt idx="10">
                  <c:v>14385</c:v>
                </c:pt>
                <c:pt idx="11">
                  <c:v>9094</c:v>
                </c:pt>
                <c:pt idx="12">
                  <c:v>10726</c:v>
                </c:pt>
                <c:pt idx="13">
                  <c:v>10478</c:v>
                </c:pt>
                <c:pt idx="14">
                  <c:v>7689</c:v>
                </c:pt>
                <c:pt idx="15">
                  <c:v>5518</c:v>
                </c:pt>
                <c:pt idx="16">
                  <c:v>6409</c:v>
                </c:pt>
                <c:pt idx="17">
                  <c:v>6903</c:v>
                </c:pt>
                <c:pt idx="18">
                  <c:v>7137</c:v>
                </c:pt>
                <c:pt idx="19">
                  <c:v>6315</c:v>
                </c:pt>
                <c:pt idx="20">
                  <c:v>7049</c:v>
                </c:pt>
                <c:pt idx="21">
                  <c:v>5092</c:v>
                </c:pt>
                <c:pt idx="22">
                  <c:v>3857</c:v>
                </c:pt>
                <c:pt idx="23">
                  <c:v>3470</c:v>
                </c:pt>
                <c:pt idx="24">
                  <c:v>4992</c:v>
                </c:pt>
                <c:pt idx="25">
                  <c:v>4658</c:v>
                </c:pt>
                <c:pt idx="26">
                  <c:v>3387</c:v>
                </c:pt>
                <c:pt idx="27">
                  <c:v>5299</c:v>
                </c:pt>
                <c:pt idx="28">
                  <c:v>7116</c:v>
                </c:pt>
                <c:pt idx="29">
                  <c:v>7280</c:v>
                </c:pt>
                <c:pt idx="30">
                  <c:v>7641</c:v>
                </c:pt>
                <c:pt idx="31">
                  <c:v>6504</c:v>
                </c:pt>
                <c:pt idx="32">
                  <c:v>6449</c:v>
                </c:pt>
              </c:numCache>
            </c:numRef>
          </c:val>
          <c:smooth val="0"/>
          <c:extLst>
            <c:ext xmlns:c16="http://schemas.microsoft.com/office/drawing/2014/chart" uri="{C3380CC4-5D6E-409C-BE32-E72D297353CC}">
              <c16:uniqueId val="{00000000-E85A-4A7B-8206-560E4B1CC9B1}"/>
            </c:ext>
          </c:extLst>
        </c:ser>
        <c:dLbls>
          <c:showLegendKey val="0"/>
          <c:showVal val="0"/>
          <c:showCatName val="0"/>
          <c:showSerName val="0"/>
          <c:showPercent val="0"/>
          <c:showBubbleSize val="0"/>
        </c:dLbls>
        <c:marker val="1"/>
        <c:smooth val="0"/>
        <c:axId val="131194368"/>
        <c:axId val="223302144"/>
      </c:lineChart>
      <c:catAx>
        <c:axId val="131194368"/>
        <c:scaling>
          <c:orientation val="minMax"/>
        </c:scaling>
        <c:delete val="0"/>
        <c:axPos val="b"/>
        <c:numFmt formatCode="General" sourceLinked="1"/>
        <c:majorTickMark val="none"/>
        <c:minorTickMark val="none"/>
        <c:tickLblPos val="nextTo"/>
        <c:txPr>
          <a:bodyPr rot="-2700000" vert="horz"/>
          <a:lstStyle/>
          <a:p>
            <a:pPr>
              <a:defRPr sz="900" b="1" i="0" u="none" strike="noStrike" baseline="0">
                <a:solidFill>
                  <a:srgbClr val="000000"/>
                </a:solidFill>
                <a:latin typeface="Verdana"/>
                <a:ea typeface="Verdana"/>
                <a:cs typeface="Verdana"/>
              </a:defRPr>
            </a:pPr>
            <a:endParaRPr lang="es-ES"/>
          </a:p>
        </c:txPr>
        <c:crossAx val="223302144"/>
        <c:crosses val="autoZero"/>
        <c:auto val="1"/>
        <c:lblAlgn val="ctr"/>
        <c:lblOffset val="100"/>
        <c:tickLblSkip val="2"/>
        <c:tickMarkSkip val="2"/>
        <c:noMultiLvlLbl val="0"/>
      </c:catAx>
      <c:valAx>
        <c:axId val="223302144"/>
        <c:scaling>
          <c:orientation val="minMax"/>
          <c:min val="3000"/>
        </c:scaling>
        <c:delete val="0"/>
        <c:axPos val="l"/>
        <c:majorGridlines/>
        <c:numFmt formatCode="#,##0" sourceLinked="1"/>
        <c:majorTickMark val="none"/>
        <c:minorTickMark val="none"/>
        <c:tickLblPos val="nextTo"/>
        <c:txPr>
          <a:bodyPr rot="0" vert="horz"/>
          <a:lstStyle/>
          <a:p>
            <a:pPr>
              <a:defRPr sz="900" b="1" i="0" u="none" strike="noStrike" baseline="0">
                <a:solidFill>
                  <a:srgbClr val="000000"/>
                </a:solidFill>
                <a:latin typeface="Verdana"/>
                <a:ea typeface="Verdana"/>
                <a:cs typeface="Verdana"/>
              </a:defRPr>
            </a:pPr>
            <a:endParaRPr lang="es-ES"/>
          </a:p>
        </c:txPr>
        <c:crossAx val="131194368"/>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Verdana"/>
          <a:ea typeface="Verdana"/>
          <a:cs typeface="Verdana"/>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Verdana"/>
                <a:ea typeface="Verdana"/>
                <a:cs typeface="Verdana"/>
              </a:defRPr>
            </a:pPr>
            <a:r>
              <a:rPr lang="es-ES"/>
              <a:t>Concursos presentados </a:t>
            </a:r>
          </a:p>
        </c:rich>
      </c:tx>
      <c:overlay val="0"/>
    </c:title>
    <c:autoTitleDeleted val="0"/>
    <c:plotArea>
      <c:layout/>
      <c:lineChart>
        <c:grouping val="standard"/>
        <c:varyColors val="0"/>
        <c:ser>
          <c:idx val="0"/>
          <c:order val="0"/>
          <c:tx>
            <c:v>Concursos</c:v>
          </c:tx>
          <c:cat>
            <c:strRef>
              <c:f>Resumen!$B$88:$B$120</c:f>
              <c:strCache>
                <c:ptCount val="33"/>
                <c:pt idx="0">
                  <c:v>12-T4</c:v>
                </c:pt>
                <c:pt idx="1">
                  <c:v>13-T1</c:v>
                </c:pt>
                <c:pt idx="2">
                  <c:v>13-T2</c:v>
                </c:pt>
                <c:pt idx="3">
                  <c:v>13-T3</c:v>
                </c:pt>
                <c:pt idx="4">
                  <c:v>13-T4</c:v>
                </c:pt>
                <c:pt idx="5">
                  <c:v>14-T1</c:v>
                </c:pt>
                <c:pt idx="6">
                  <c:v>14-T2</c:v>
                </c:pt>
                <c:pt idx="7">
                  <c:v>14-T3</c:v>
                </c:pt>
                <c:pt idx="8">
                  <c:v>14-T4</c:v>
                </c:pt>
                <c:pt idx="9">
                  <c:v>15-T1</c:v>
                </c:pt>
                <c:pt idx="10">
                  <c:v>15-T2</c:v>
                </c:pt>
                <c:pt idx="11">
                  <c:v>15-T3</c:v>
                </c:pt>
                <c:pt idx="12">
                  <c:v>15-T4</c:v>
                </c:pt>
                <c:pt idx="13">
                  <c:v>16-T1</c:v>
                </c:pt>
                <c:pt idx="14">
                  <c:v>16-T2</c:v>
                </c:pt>
                <c:pt idx="15">
                  <c:v>16-T3</c:v>
                </c:pt>
                <c:pt idx="16">
                  <c:v>16-T4</c:v>
                </c:pt>
                <c:pt idx="17">
                  <c:v>17-T1</c:v>
                </c:pt>
                <c:pt idx="18">
                  <c:v>17-T2</c:v>
                </c:pt>
                <c:pt idx="19">
                  <c:v>17-T3</c:v>
                </c:pt>
                <c:pt idx="20">
                  <c:v>17-T4</c:v>
                </c:pt>
                <c:pt idx="21">
                  <c:v>18-T1</c:v>
                </c:pt>
                <c:pt idx="22">
                  <c:v>18-T2</c:v>
                </c:pt>
                <c:pt idx="23">
                  <c:v>18-T3</c:v>
                </c:pt>
                <c:pt idx="24">
                  <c:v>18-T4</c:v>
                </c:pt>
                <c:pt idx="25">
                  <c:v>19-T1</c:v>
                </c:pt>
                <c:pt idx="26">
                  <c:v>19-T2</c:v>
                </c:pt>
                <c:pt idx="27">
                  <c:v>19-T3</c:v>
                </c:pt>
                <c:pt idx="28">
                  <c:v>19-T4</c:v>
                </c:pt>
                <c:pt idx="29">
                  <c:v>20-T1</c:v>
                </c:pt>
                <c:pt idx="30">
                  <c:v>20-T2</c:v>
                </c:pt>
                <c:pt idx="31">
                  <c:v>20-T3</c:v>
                </c:pt>
                <c:pt idx="32">
                  <c:v>20-T4</c:v>
                </c:pt>
              </c:strCache>
            </c:strRef>
          </c:cat>
          <c:val>
            <c:numRef>
              <c:f>Resumen!$C$88:$C$120</c:f>
              <c:numCache>
                <c:formatCode>#,##0</c:formatCode>
                <c:ptCount val="33"/>
                <c:pt idx="0">
                  <c:v>2777</c:v>
                </c:pt>
                <c:pt idx="1">
                  <c:v>3207</c:v>
                </c:pt>
                <c:pt idx="2">
                  <c:v>2973</c:v>
                </c:pt>
                <c:pt idx="3">
                  <c:v>2350</c:v>
                </c:pt>
                <c:pt idx="4">
                  <c:v>2419</c:v>
                </c:pt>
                <c:pt idx="5">
                  <c:v>2198</c:v>
                </c:pt>
                <c:pt idx="6">
                  <c:v>2133</c:v>
                </c:pt>
                <c:pt idx="7">
                  <c:v>1843</c:v>
                </c:pt>
                <c:pt idx="8">
                  <c:v>1958</c:v>
                </c:pt>
                <c:pt idx="9">
                  <c:v>1718</c:v>
                </c:pt>
                <c:pt idx="10">
                  <c:v>1593</c:v>
                </c:pt>
                <c:pt idx="11">
                  <c:v>1451</c:v>
                </c:pt>
                <c:pt idx="12">
                  <c:v>1526</c:v>
                </c:pt>
                <c:pt idx="13">
                  <c:v>1689</c:v>
                </c:pt>
                <c:pt idx="14">
                  <c:v>1847</c:v>
                </c:pt>
                <c:pt idx="15">
                  <c:v>1593</c:v>
                </c:pt>
                <c:pt idx="16">
                  <c:v>1911</c:v>
                </c:pt>
                <c:pt idx="17">
                  <c:v>1937</c:v>
                </c:pt>
                <c:pt idx="18">
                  <c:v>2001</c:v>
                </c:pt>
                <c:pt idx="19">
                  <c:v>1645</c:v>
                </c:pt>
                <c:pt idx="20">
                  <c:v>2011</c:v>
                </c:pt>
                <c:pt idx="21">
                  <c:v>2162</c:v>
                </c:pt>
                <c:pt idx="22">
                  <c:v>2410</c:v>
                </c:pt>
                <c:pt idx="23">
                  <c:v>1953</c:v>
                </c:pt>
                <c:pt idx="24">
                  <c:v>2590</c:v>
                </c:pt>
                <c:pt idx="25">
                  <c:v>2796</c:v>
                </c:pt>
                <c:pt idx="26">
                  <c:v>2982</c:v>
                </c:pt>
                <c:pt idx="27">
                  <c:v>2719</c:v>
                </c:pt>
                <c:pt idx="28">
                  <c:v>3534</c:v>
                </c:pt>
                <c:pt idx="29">
                  <c:v>3274</c:v>
                </c:pt>
                <c:pt idx="30">
                  <c:v>2305</c:v>
                </c:pt>
                <c:pt idx="31">
                  <c:v>3649</c:v>
                </c:pt>
                <c:pt idx="32">
                  <c:v>4513</c:v>
                </c:pt>
              </c:numCache>
            </c:numRef>
          </c:val>
          <c:smooth val="0"/>
          <c:extLst>
            <c:ext xmlns:c16="http://schemas.microsoft.com/office/drawing/2014/chart" uri="{C3380CC4-5D6E-409C-BE32-E72D297353CC}">
              <c16:uniqueId val="{00000000-A9BD-45B1-B6AA-266DCF60B9C2}"/>
            </c:ext>
          </c:extLst>
        </c:ser>
        <c:dLbls>
          <c:showLegendKey val="0"/>
          <c:showVal val="0"/>
          <c:showCatName val="0"/>
          <c:showSerName val="0"/>
          <c:showPercent val="0"/>
          <c:showBubbleSize val="0"/>
        </c:dLbls>
        <c:marker val="1"/>
        <c:smooth val="0"/>
        <c:axId val="131193344"/>
        <c:axId val="223300992"/>
      </c:lineChart>
      <c:catAx>
        <c:axId val="131193344"/>
        <c:scaling>
          <c:orientation val="minMax"/>
        </c:scaling>
        <c:delete val="0"/>
        <c:axPos val="b"/>
        <c:numFmt formatCode="General" sourceLinked="1"/>
        <c:majorTickMark val="none"/>
        <c:minorTickMark val="none"/>
        <c:tickLblPos val="nextTo"/>
        <c:txPr>
          <a:bodyPr rot="-5400000" vert="horz"/>
          <a:lstStyle/>
          <a:p>
            <a:pPr>
              <a:defRPr sz="900" b="1" i="0" u="none" strike="noStrike" baseline="0">
                <a:solidFill>
                  <a:srgbClr val="000000"/>
                </a:solidFill>
                <a:latin typeface="Verdana"/>
                <a:ea typeface="Verdana"/>
                <a:cs typeface="Verdana"/>
              </a:defRPr>
            </a:pPr>
            <a:endParaRPr lang="es-ES"/>
          </a:p>
        </c:txPr>
        <c:crossAx val="223300992"/>
        <c:crosses val="autoZero"/>
        <c:auto val="1"/>
        <c:lblAlgn val="ctr"/>
        <c:lblOffset val="100"/>
        <c:noMultiLvlLbl val="0"/>
      </c:catAx>
      <c:valAx>
        <c:axId val="223300992"/>
        <c:scaling>
          <c:orientation val="minMax"/>
          <c:max val="5000"/>
          <c:min val="0"/>
        </c:scaling>
        <c:delete val="0"/>
        <c:axPos val="l"/>
        <c:majorGridlines/>
        <c:numFmt formatCode="#,##0" sourceLinked="1"/>
        <c:majorTickMark val="none"/>
        <c:minorTickMark val="none"/>
        <c:tickLblPos val="nextTo"/>
        <c:txPr>
          <a:bodyPr rot="0" vert="horz"/>
          <a:lstStyle/>
          <a:p>
            <a:pPr>
              <a:defRPr sz="900" b="1" i="0" u="none" strike="noStrike" baseline="0">
                <a:solidFill>
                  <a:srgbClr val="000000"/>
                </a:solidFill>
                <a:latin typeface="Verdana"/>
                <a:ea typeface="Verdana"/>
                <a:cs typeface="Verdana"/>
              </a:defRPr>
            </a:pPr>
            <a:endParaRPr lang="es-ES"/>
          </a:p>
        </c:txPr>
        <c:crossAx val="131193344"/>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Verdana"/>
          <a:ea typeface="Verdana"/>
          <a:cs typeface="Verdana"/>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1"/>
              <a:t>Concursos presentados en los Juzgados de lo Mercantil por cada 100.000 habitantes. Cuarto trimestre de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'Concursos presentados Jmer TSJ'!$B$52:$B$68</c:f>
              <c:strCache>
                <c:ptCount val="17"/>
                <c:pt idx="0">
                  <c:v>ANDALUCÍA</c:v>
                </c:pt>
                <c:pt idx="1">
                  <c:v>ARAGÓN</c:v>
                </c:pt>
                <c:pt idx="2">
                  <c:v>ASTURIAS, PRINCIPADO</c:v>
                </c:pt>
                <c:pt idx="3">
                  <c:v>ILLES BALEARS</c:v>
                </c:pt>
                <c:pt idx="4">
                  <c:v>CANARIAS</c:v>
                </c:pt>
                <c:pt idx="5">
                  <c:v>CANTABRIA</c:v>
                </c:pt>
                <c:pt idx="6">
                  <c:v>CASTILLA - LEÓN</c:v>
                </c:pt>
                <c:pt idx="7">
                  <c:v>CASTILLA - LA MANCHA</c:v>
                </c:pt>
                <c:pt idx="8">
                  <c:v>CATALUÑA</c:v>
                </c:pt>
                <c:pt idx="9">
                  <c:v>C. VALENCIANA</c:v>
                </c:pt>
                <c:pt idx="10">
                  <c:v>EXTREMADURA</c:v>
                </c:pt>
                <c:pt idx="11">
                  <c:v>GALICIA</c:v>
                </c:pt>
                <c:pt idx="12">
                  <c:v>MADRID, COMUNIDAD</c:v>
                </c:pt>
                <c:pt idx="13">
                  <c:v>MURCIA, REGIÓN</c:v>
                </c:pt>
                <c:pt idx="14">
                  <c:v>NAVARRA, COM. FORAL</c:v>
                </c:pt>
                <c:pt idx="15">
                  <c:v>PAÍS VASCO</c:v>
                </c:pt>
                <c:pt idx="16">
                  <c:v>LA RIOJA</c:v>
                </c:pt>
              </c:strCache>
            </c:strRef>
          </c:cat>
          <c:val>
            <c:numRef>
              <c:f>'Concursos presentados Jmer TSJ'!$J$52:$J$68</c:f>
              <c:numCache>
                <c:formatCode>#,##0.0</c:formatCode>
                <c:ptCount val="17"/>
                <c:pt idx="0">
                  <c:v>2.4183698914105634</c:v>
                </c:pt>
                <c:pt idx="1">
                  <c:v>3.2421974256952444</c:v>
                </c:pt>
                <c:pt idx="2">
                  <c:v>3.9533817227256192</c:v>
                </c:pt>
                <c:pt idx="3">
                  <c:v>4.0067927925470244</c:v>
                </c:pt>
                <c:pt idx="4">
                  <c:v>2.255005191113991</c:v>
                </c:pt>
                <c:pt idx="5">
                  <c:v>3.763855693772701</c:v>
                </c:pt>
                <c:pt idx="6">
                  <c:v>2.937302440184983</c:v>
                </c:pt>
                <c:pt idx="7">
                  <c:v>3.8056911671859646</c:v>
                </c:pt>
                <c:pt idx="8">
                  <c:v>9.8410971947462969</c:v>
                </c:pt>
                <c:pt idx="9">
                  <c:v>5.6147143474535488</c:v>
                </c:pt>
                <c:pt idx="10">
                  <c:v>2.453985413888236</c:v>
                </c:pt>
                <c:pt idx="11">
                  <c:v>2.4112967397413239</c:v>
                </c:pt>
                <c:pt idx="12">
                  <c:v>5.7767071613838681</c:v>
                </c:pt>
                <c:pt idx="13">
                  <c:v>3.5561737151346802</c:v>
                </c:pt>
                <c:pt idx="14">
                  <c:v>2.7209362439289113</c:v>
                </c:pt>
                <c:pt idx="15">
                  <c:v>3.2972100634464514</c:v>
                </c:pt>
                <c:pt idx="16">
                  <c:v>4.0650914958285904</c:v>
                </c:pt>
              </c:numCache>
            </c:numRef>
          </c:val>
          <c:extLst>
            <c:ext xmlns:c16="http://schemas.microsoft.com/office/drawing/2014/chart" uri="{C3380CC4-5D6E-409C-BE32-E72D297353CC}">
              <c16:uniqueId val="{00000000-A155-4DA6-A746-107626668496}"/>
            </c:ext>
          </c:extLst>
        </c:ser>
        <c:dLbls>
          <c:showLegendKey val="0"/>
          <c:showVal val="0"/>
          <c:showCatName val="0"/>
          <c:showSerName val="0"/>
          <c:showPercent val="0"/>
          <c:showBubbleSize val="0"/>
        </c:dLbls>
        <c:gapWidth val="219"/>
        <c:overlap val="-27"/>
        <c:axId val="743087712"/>
        <c:axId val="743088040"/>
      </c:barChart>
      <c:catAx>
        <c:axId val="74308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50" b="1" i="0" u="none" strike="noStrike" kern="1200" baseline="0">
                <a:solidFill>
                  <a:schemeClr val="tx1">
                    <a:lumMod val="65000"/>
                    <a:lumOff val="35000"/>
                  </a:schemeClr>
                </a:solidFill>
                <a:latin typeface="Verdana" panose="020B0604030504040204" pitchFamily="34" charset="0"/>
                <a:ea typeface="+mn-ea"/>
                <a:cs typeface="+mn-cs"/>
              </a:defRPr>
            </a:pPr>
            <a:endParaRPr lang="es-ES"/>
          </a:p>
        </c:txPr>
        <c:crossAx val="743088040"/>
        <c:crosses val="autoZero"/>
        <c:auto val="1"/>
        <c:lblAlgn val="ctr"/>
        <c:lblOffset val="100"/>
        <c:noMultiLvlLbl val="0"/>
      </c:catAx>
      <c:valAx>
        <c:axId val="743088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ES"/>
          </a:p>
        </c:txPr>
        <c:crossAx val="743087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1"/>
              <a:t>Concursos de persona natural no empresario por cada 100.000 habitantes. Cuarto trimestre de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5.5619764267663969E-2"/>
          <c:y val="0.29792897247067418"/>
          <c:w val="0.92339787998603184"/>
          <c:h val="0.3230452989492818"/>
        </c:manualLayout>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'Concursos p.n. presentados TSJ '!$B$54:$B$70</c:f>
              <c:strCache>
                <c:ptCount val="17"/>
                <c:pt idx="0">
                  <c:v>ANDALUCÍA</c:v>
                </c:pt>
                <c:pt idx="1">
                  <c:v>ARAGÓN</c:v>
                </c:pt>
                <c:pt idx="2">
                  <c:v>ASTURIAS, PRINCIPADO</c:v>
                </c:pt>
                <c:pt idx="3">
                  <c:v>ILLES BALEARS</c:v>
                </c:pt>
                <c:pt idx="4">
                  <c:v>CANARIAS</c:v>
                </c:pt>
                <c:pt idx="5">
                  <c:v>CANTABRIA</c:v>
                </c:pt>
                <c:pt idx="6">
                  <c:v>CASTILLA - LEÓN</c:v>
                </c:pt>
                <c:pt idx="7">
                  <c:v>CASTILLA - LA MANCHA</c:v>
                </c:pt>
                <c:pt idx="8">
                  <c:v>CATALUÑA</c:v>
                </c:pt>
                <c:pt idx="9">
                  <c:v>C. VALENCIANA</c:v>
                </c:pt>
                <c:pt idx="10">
                  <c:v>EXTREMADURA</c:v>
                </c:pt>
                <c:pt idx="11">
                  <c:v>GALICIA</c:v>
                </c:pt>
                <c:pt idx="12">
                  <c:v>MADRID, COMUNIDAD</c:v>
                </c:pt>
                <c:pt idx="13">
                  <c:v>MURCIA, REGIÓN</c:v>
                </c:pt>
                <c:pt idx="14">
                  <c:v>NAVARRA, COM. FORAL</c:v>
                </c:pt>
                <c:pt idx="15">
                  <c:v>PAÍS VASCO</c:v>
                </c:pt>
                <c:pt idx="16">
                  <c:v>LA RIOJA</c:v>
                </c:pt>
              </c:strCache>
            </c:strRef>
          </c:cat>
          <c:val>
            <c:numRef>
              <c:f>'Concursos p.n. presentados TSJ '!$J$54:$J$70</c:f>
              <c:numCache>
                <c:formatCode>#,##0.0</c:formatCode>
                <c:ptCount val="17"/>
                <c:pt idx="0">
                  <c:v>3.7837653324940397</c:v>
                </c:pt>
                <c:pt idx="1">
                  <c:v>5.80579539019846</c:v>
                </c:pt>
                <c:pt idx="2">
                  <c:v>5.7324034979521485</c:v>
                </c:pt>
                <c:pt idx="3">
                  <c:v>5.9675637335806746</c:v>
                </c:pt>
                <c:pt idx="4">
                  <c:v>6.6269540310288706</c:v>
                </c:pt>
                <c:pt idx="5">
                  <c:v>3.2506026446218779</c:v>
                </c:pt>
                <c:pt idx="6">
                  <c:v>3.1471097573410529</c:v>
                </c:pt>
                <c:pt idx="7">
                  <c:v>6.1964458747771483</c:v>
                </c:pt>
                <c:pt idx="8">
                  <c:v>8.4370663122497707</c:v>
                </c:pt>
                <c:pt idx="9">
                  <c:v>6.3264387013561114</c:v>
                </c:pt>
                <c:pt idx="10">
                  <c:v>4.1528983927339373</c:v>
                </c:pt>
                <c:pt idx="11">
                  <c:v>5.4532403191073007</c:v>
                </c:pt>
                <c:pt idx="12">
                  <c:v>6.1618209721427917</c:v>
                </c:pt>
                <c:pt idx="13">
                  <c:v>4.8732750911104876</c:v>
                </c:pt>
                <c:pt idx="14">
                  <c:v>2.7209362439289113</c:v>
                </c:pt>
                <c:pt idx="15">
                  <c:v>1.4905196177223685</c:v>
                </c:pt>
                <c:pt idx="16">
                  <c:v>0</c:v>
                </c:pt>
              </c:numCache>
            </c:numRef>
          </c:val>
          <c:extLst>
            <c:ext xmlns:c16="http://schemas.microsoft.com/office/drawing/2014/chart" uri="{C3380CC4-5D6E-409C-BE32-E72D297353CC}">
              <c16:uniqueId val="{00000000-AF12-465C-9F76-1CC12DB2478C}"/>
            </c:ext>
          </c:extLst>
        </c:ser>
        <c:dLbls>
          <c:showLegendKey val="0"/>
          <c:showVal val="0"/>
          <c:showCatName val="0"/>
          <c:showSerName val="0"/>
          <c:showPercent val="0"/>
          <c:showBubbleSize val="0"/>
        </c:dLbls>
        <c:gapWidth val="219"/>
        <c:overlap val="-27"/>
        <c:axId val="743087712"/>
        <c:axId val="743088040"/>
      </c:barChart>
      <c:catAx>
        <c:axId val="74308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50" b="1" i="0" u="none" strike="noStrike" kern="1200" baseline="0">
                <a:solidFill>
                  <a:schemeClr val="tx1">
                    <a:lumMod val="65000"/>
                    <a:lumOff val="35000"/>
                  </a:schemeClr>
                </a:solidFill>
                <a:latin typeface="Verdana" panose="020B0604030504040204" pitchFamily="34" charset="0"/>
                <a:ea typeface="+mn-ea"/>
                <a:cs typeface="+mn-cs"/>
              </a:defRPr>
            </a:pPr>
            <a:endParaRPr lang="es-ES"/>
          </a:p>
        </c:txPr>
        <c:crossAx val="743088040"/>
        <c:crosses val="autoZero"/>
        <c:auto val="1"/>
        <c:lblAlgn val="ctr"/>
        <c:lblOffset val="100"/>
        <c:noMultiLvlLbl val="0"/>
      </c:catAx>
      <c:valAx>
        <c:axId val="743088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ES"/>
          </a:p>
        </c:txPr>
        <c:crossAx val="743087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Demandas de despido</c:v>
          </c:tx>
          <c:cat>
            <c:strRef>
              <c:f>Resumen!$B$32:$B$64</c:f>
              <c:strCache>
                <c:ptCount val="33"/>
                <c:pt idx="0">
                  <c:v>13-T4</c:v>
                </c:pt>
                <c:pt idx="1">
                  <c:v>14-T1</c:v>
                </c:pt>
                <c:pt idx="2">
                  <c:v>14-T2</c:v>
                </c:pt>
                <c:pt idx="3">
                  <c:v>14-T3</c:v>
                </c:pt>
                <c:pt idx="4">
                  <c:v>14-T4</c:v>
                </c:pt>
                <c:pt idx="5">
                  <c:v>15-T1</c:v>
                </c:pt>
                <c:pt idx="6">
                  <c:v>15-T2</c:v>
                </c:pt>
                <c:pt idx="7">
                  <c:v>15-T3</c:v>
                </c:pt>
                <c:pt idx="8">
                  <c:v>15-T4</c:v>
                </c:pt>
                <c:pt idx="9">
                  <c:v>16-T1</c:v>
                </c:pt>
                <c:pt idx="10">
                  <c:v>16-T2</c:v>
                </c:pt>
                <c:pt idx="11">
                  <c:v>16-T3</c:v>
                </c:pt>
                <c:pt idx="12">
                  <c:v>16-T4</c:v>
                </c:pt>
                <c:pt idx="13">
                  <c:v>17-T1</c:v>
                </c:pt>
                <c:pt idx="14">
                  <c:v>17-T2</c:v>
                </c:pt>
                <c:pt idx="15">
                  <c:v>17-T3</c:v>
                </c:pt>
                <c:pt idx="16">
                  <c:v>17-T4</c:v>
                </c:pt>
                <c:pt idx="17">
                  <c:v>18-T1</c:v>
                </c:pt>
                <c:pt idx="18">
                  <c:v>18-T2</c:v>
                </c:pt>
                <c:pt idx="19">
                  <c:v>18-T3</c:v>
                </c:pt>
                <c:pt idx="20">
                  <c:v>18-T4</c:v>
                </c:pt>
                <c:pt idx="21">
                  <c:v>19-T1</c:v>
                </c:pt>
                <c:pt idx="22">
                  <c:v>19-T2</c:v>
                </c:pt>
                <c:pt idx="23">
                  <c:v>19-T3</c:v>
                </c:pt>
                <c:pt idx="24">
                  <c:v>19-T4</c:v>
                </c:pt>
                <c:pt idx="25">
                  <c:v>20-T1</c:v>
                </c:pt>
                <c:pt idx="26">
                  <c:v>20-T2</c:v>
                </c:pt>
                <c:pt idx="27">
                  <c:v>20-T3</c:v>
                </c:pt>
                <c:pt idx="28">
                  <c:v>20-T4</c:v>
                </c:pt>
                <c:pt idx="29">
                  <c:v>21-T1</c:v>
                </c:pt>
                <c:pt idx="30">
                  <c:v>21-T2</c:v>
                </c:pt>
                <c:pt idx="31">
                  <c:v>21-T3</c:v>
                </c:pt>
                <c:pt idx="32">
                  <c:v>21-T4</c:v>
                </c:pt>
              </c:strCache>
            </c:strRef>
          </c:cat>
          <c:val>
            <c:numRef>
              <c:f>Resumen!$C$32:$C$64</c:f>
              <c:numCache>
                <c:formatCode>#,##0</c:formatCode>
                <c:ptCount val="33"/>
                <c:pt idx="0">
                  <c:v>31506</c:v>
                </c:pt>
                <c:pt idx="1">
                  <c:v>34327</c:v>
                </c:pt>
                <c:pt idx="2">
                  <c:v>29037</c:v>
                </c:pt>
                <c:pt idx="3">
                  <c:v>27571</c:v>
                </c:pt>
                <c:pt idx="4">
                  <c:v>27278</c:v>
                </c:pt>
                <c:pt idx="5">
                  <c:v>28755</c:v>
                </c:pt>
                <c:pt idx="6">
                  <c:v>26417</c:v>
                </c:pt>
                <c:pt idx="7">
                  <c:v>24957</c:v>
                </c:pt>
                <c:pt idx="8">
                  <c:v>24328</c:v>
                </c:pt>
                <c:pt idx="9">
                  <c:v>25182</c:v>
                </c:pt>
                <c:pt idx="10">
                  <c:v>25866</c:v>
                </c:pt>
                <c:pt idx="11">
                  <c:v>23364</c:v>
                </c:pt>
                <c:pt idx="12">
                  <c:v>24509</c:v>
                </c:pt>
                <c:pt idx="13">
                  <c:v>27166</c:v>
                </c:pt>
                <c:pt idx="14">
                  <c:v>25869</c:v>
                </c:pt>
                <c:pt idx="15">
                  <c:v>26101</c:v>
                </c:pt>
                <c:pt idx="16">
                  <c:v>25688</c:v>
                </c:pt>
                <c:pt idx="17">
                  <c:v>27589</c:v>
                </c:pt>
                <c:pt idx="18">
                  <c:v>25785</c:v>
                </c:pt>
                <c:pt idx="19">
                  <c:v>26669</c:v>
                </c:pt>
                <c:pt idx="20">
                  <c:v>27251</c:v>
                </c:pt>
                <c:pt idx="21">
                  <c:v>29386</c:v>
                </c:pt>
                <c:pt idx="22">
                  <c:v>28121</c:v>
                </c:pt>
                <c:pt idx="23">
                  <c:v>30981</c:v>
                </c:pt>
                <c:pt idx="24">
                  <c:v>31561</c:v>
                </c:pt>
                <c:pt idx="25">
                  <c:v>30597</c:v>
                </c:pt>
                <c:pt idx="26">
                  <c:v>27401</c:v>
                </c:pt>
                <c:pt idx="27">
                  <c:v>41597</c:v>
                </c:pt>
                <c:pt idx="28">
                  <c:v>29692</c:v>
                </c:pt>
                <c:pt idx="29">
                  <c:v>34461</c:v>
                </c:pt>
                <c:pt idx="30">
                  <c:v>28179</c:v>
                </c:pt>
                <c:pt idx="31">
                  <c:v>26434</c:v>
                </c:pt>
                <c:pt idx="32">
                  <c:v>28219</c:v>
                </c:pt>
              </c:numCache>
            </c:numRef>
          </c:val>
          <c:smooth val="0"/>
          <c:extLst>
            <c:ext xmlns:c16="http://schemas.microsoft.com/office/drawing/2014/chart" uri="{C3380CC4-5D6E-409C-BE32-E72D297353CC}">
              <c16:uniqueId val="{00000000-C590-4ED2-97B7-7C57B3D16A51}"/>
            </c:ext>
          </c:extLst>
        </c:ser>
        <c:ser>
          <c:idx val="1"/>
          <c:order val="1"/>
          <c:tx>
            <c:v>Reclamaciones de cantidad</c:v>
          </c:tx>
          <c:cat>
            <c:strRef>
              <c:f>Resumen!$B$32:$B$64</c:f>
              <c:strCache>
                <c:ptCount val="33"/>
                <c:pt idx="0">
                  <c:v>13-T4</c:v>
                </c:pt>
                <c:pt idx="1">
                  <c:v>14-T1</c:v>
                </c:pt>
                <c:pt idx="2">
                  <c:v>14-T2</c:v>
                </c:pt>
                <c:pt idx="3">
                  <c:v>14-T3</c:v>
                </c:pt>
                <c:pt idx="4">
                  <c:v>14-T4</c:v>
                </c:pt>
                <c:pt idx="5">
                  <c:v>15-T1</c:v>
                </c:pt>
                <c:pt idx="6">
                  <c:v>15-T2</c:v>
                </c:pt>
                <c:pt idx="7">
                  <c:v>15-T3</c:v>
                </c:pt>
                <c:pt idx="8">
                  <c:v>15-T4</c:v>
                </c:pt>
                <c:pt idx="9">
                  <c:v>16-T1</c:v>
                </c:pt>
                <c:pt idx="10">
                  <c:v>16-T2</c:v>
                </c:pt>
                <c:pt idx="11">
                  <c:v>16-T3</c:v>
                </c:pt>
                <c:pt idx="12">
                  <c:v>16-T4</c:v>
                </c:pt>
                <c:pt idx="13">
                  <c:v>17-T1</c:v>
                </c:pt>
                <c:pt idx="14">
                  <c:v>17-T2</c:v>
                </c:pt>
                <c:pt idx="15">
                  <c:v>17-T3</c:v>
                </c:pt>
                <c:pt idx="16">
                  <c:v>17-T4</c:v>
                </c:pt>
                <c:pt idx="17">
                  <c:v>18-T1</c:v>
                </c:pt>
                <c:pt idx="18">
                  <c:v>18-T2</c:v>
                </c:pt>
                <c:pt idx="19">
                  <c:v>18-T3</c:v>
                </c:pt>
                <c:pt idx="20">
                  <c:v>18-T4</c:v>
                </c:pt>
                <c:pt idx="21">
                  <c:v>19-T1</c:v>
                </c:pt>
                <c:pt idx="22">
                  <c:v>19-T2</c:v>
                </c:pt>
                <c:pt idx="23">
                  <c:v>19-T3</c:v>
                </c:pt>
                <c:pt idx="24">
                  <c:v>19-T4</c:v>
                </c:pt>
                <c:pt idx="25">
                  <c:v>20-T1</c:v>
                </c:pt>
                <c:pt idx="26">
                  <c:v>20-T2</c:v>
                </c:pt>
                <c:pt idx="27">
                  <c:v>20-T3</c:v>
                </c:pt>
                <c:pt idx="28">
                  <c:v>20-T4</c:v>
                </c:pt>
                <c:pt idx="29">
                  <c:v>21-T1</c:v>
                </c:pt>
                <c:pt idx="30">
                  <c:v>21-T2</c:v>
                </c:pt>
                <c:pt idx="31">
                  <c:v>21-T3</c:v>
                </c:pt>
                <c:pt idx="32">
                  <c:v>21-T4</c:v>
                </c:pt>
              </c:strCache>
            </c:strRef>
          </c:cat>
          <c:val>
            <c:numRef>
              <c:f>Resumen!$D$32:$D$64</c:f>
              <c:numCache>
                <c:formatCode>#,##0</c:formatCode>
                <c:ptCount val="33"/>
                <c:pt idx="0">
                  <c:v>34154</c:v>
                </c:pt>
                <c:pt idx="1">
                  <c:v>37617</c:v>
                </c:pt>
                <c:pt idx="2">
                  <c:v>32948</c:v>
                </c:pt>
                <c:pt idx="3">
                  <c:v>27999</c:v>
                </c:pt>
                <c:pt idx="4">
                  <c:v>34299</c:v>
                </c:pt>
                <c:pt idx="5">
                  <c:v>38621</c:v>
                </c:pt>
                <c:pt idx="6">
                  <c:v>31470</c:v>
                </c:pt>
                <c:pt idx="7">
                  <c:v>26018</c:v>
                </c:pt>
                <c:pt idx="8">
                  <c:v>29112</c:v>
                </c:pt>
                <c:pt idx="9">
                  <c:v>27945</c:v>
                </c:pt>
                <c:pt idx="10">
                  <c:v>30682</c:v>
                </c:pt>
                <c:pt idx="11">
                  <c:v>24220</c:v>
                </c:pt>
                <c:pt idx="12">
                  <c:v>29081</c:v>
                </c:pt>
                <c:pt idx="13">
                  <c:v>34041</c:v>
                </c:pt>
                <c:pt idx="14">
                  <c:v>32047</c:v>
                </c:pt>
                <c:pt idx="15">
                  <c:v>26854</c:v>
                </c:pt>
                <c:pt idx="16">
                  <c:v>29408</c:v>
                </c:pt>
                <c:pt idx="17">
                  <c:v>31392</c:v>
                </c:pt>
                <c:pt idx="18">
                  <c:v>33573</c:v>
                </c:pt>
                <c:pt idx="19">
                  <c:v>27761</c:v>
                </c:pt>
                <c:pt idx="20">
                  <c:v>31480</c:v>
                </c:pt>
                <c:pt idx="21">
                  <c:v>34020</c:v>
                </c:pt>
                <c:pt idx="22">
                  <c:v>33623</c:v>
                </c:pt>
                <c:pt idx="23">
                  <c:v>28752</c:v>
                </c:pt>
                <c:pt idx="24">
                  <c:v>34857</c:v>
                </c:pt>
                <c:pt idx="25">
                  <c:v>32408</c:v>
                </c:pt>
                <c:pt idx="26">
                  <c:v>21297</c:v>
                </c:pt>
                <c:pt idx="27">
                  <c:v>32446</c:v>
                </c:pt>
                <c:pt idx="28">
                  <c:v>31906</c:v>
                </c:pt>
                <c:pt idx="29">
                  <c:v>34356</c:v>
                </c:pt>
                <c:pt idx="30">
                  <c:v>32151</c:v>
                </c:pt>
                <c:pt idx="31">
                  <c:v>25447</c:v>
                </c:pt>
                <c:pt idx="32">
                  <c:v>30377</c:v>
                </c:pt>
              </c:numCache>
            </c:numRef>
          </c:val>
          <c:smooth val="0"/>
          <c:extLst>
            <c:ext xmlns:c16="http://schemas.microsoft.com/office/drawing/2014/chart" uri="{C3380CC4-5D6E-409C-BE32-E72D297353CC}">
              <c16:uniqueId val="{00000001-C590-4ED2-97B7-7C57B3D16A51}"/>
            </c:ext>
          </c:extLst>
        </c:ser>
        <c:dLbls>
          <c:showLegendKey val="0"/>
          <c:showVal val="0"/>
          <c:showCatName val="0"/>
          <c:showSerName val="0"/>
          <c:showPercent val="0"/>
          <c:showBubbleSize val="0"/>
        </c:dLbls>
        <c:marker val="1"/>
        <c:smooth val="0"/>
        <c:axId val="131192832"/>
        <c:axId val="223299264"/>
      </c:lineChart>
      <c:catAx>
        <c:axId val="131192832"/>
        <c:scaling>
          <c:orientation val="minMax"/>
        </c:scaling>
        <c:delete val="0"/>
        <c:axPos val="b"/>
        <c:numFmt formatCode="General" sourceLinked="1"/>
        <c:majorTickMark val="none"/>
        <c:minorTickMark val="none"/>
        <c:tickLblPos val="nextTo"/>
        <c:txPr>
          <a:bodyPr rot="-5400000" vert="horz"/>
          <a:lstStyle/>
          <a:p>
            <a:pPr>
              <a:defRPr sz="900" b="1" i="0" u="none" strike="noStrike" baseline="0">
                <a:solidFill>
                  <a:srgbClr val="000000"/>
                </a:solidFill>
                <a:latin typeface="Verdana"/>
                <a:ea typeface="Verdana"/>
                <a:cs typeface="Verdana"/>
              </a:defRPr>
            </a:pPr>
            <a:endParaRPr lang="es-ES"/>
          </a:p>
        </c:txPr>
        <c:crossAx val="223299264"/>
        <c:crosses val="autoZero"/>
        <c:auto val="1"/>
        <c:lblAlgn val="ctr"/>
        <c:lblOffset val="100"/>
        <c:noMultiLvlLbl val="0"/>
      </c:catAx>
      <c:valAx>
        <c:axId val="223299264"/>
        <c:scaling>
          <c:orientation val="minMax"/>
          <c:min val="4000"/>
        </c:scaling>
        <c:delete val="0"/>
        <c:axPos val="l"/>
        <c:majorGridlines/>
        <c:numFmt formatCode="#,##0" sourceLinked="1"/>
        <c:majorTickMark val="none"/>
        <c:minorTickMark val="none"/>
        <c:tickLblPos val="nextTo"/>
        <c:txPr>
          <a:bodyPr rot="0" vert="horz"/>
          <a:lstStyle/>
          <a:p>
            <a:pPr>
              <a:defRPr sz="900" b="1" i="0" u="none" strike="noStrike" baseline="0">
                <a:solidFill>
                  <a:srgbClr val="000000"/>
                </a:solidFill>
                <a:latin typeface="Verdana"/>
                <a:ea typeface="Verdana"/>
                <a:cs typeface="Verdana"/>
              </a:defRPr>
            </a:pPr>
            <a:endParaRPr lang="es-ES"/>
          </a:p>
        </c:txPr>
        <c:crossAx val="131192832"/>
        <c:crosses val="autoZero"/>
        <c:crossBetween val="between"/>
      </c:valAx>
    </c:plotArea>
    <c:legend>
      <c:legendPos val="t"/>
      <c:overlay val="0"/>
      <c:txPr>
        <a:bodyPr/>
        <a:lstStyle/>
        <a:p>
          <a:pPr>
            <a:defRPr sz="800" b="1" i="0" u="none" strike="noStrike" baseline="0">
              <a:solidFill>
                <a:srgbClr val="000000"/>
              </a:solidFill>
              <a:latin typeface="Verdana"/>
              <a:ea typeface="Verdana"/>
              <a:cs typeface="Verdana"/>
            </a:defRPr>
          </a:pPr>
          <a:endParaRPr lang="es-ES"/>
        </a:p>
      </c:txPr>
    </c:legend>
    <c:plotVisOnly val="1"/>
    <c:dispBlanksAs val="gap"/>
    <c:showDLblsOverMax val="0"/>
  </c:chart>
  <c:spPr>
    <a:ln>
      <a:solidFill>
        <a:schemeClr val="tx1"/>
      </a:solidFill>
    </a:ln>
  </c:spPr>
  <c:txPr>
    <a:bodyPr/>
    <a:lstStyle/>
    <a:p>
      <a:pPr>
        <a:defRPr sz="1000" b="0" i="0" u="none" strike="noStrike" baseline="0">
          <a:solidFill>
            <a:srgbClr val="000000"/>
          </a:solidFill>
          <a:latin typeface="Verdana"/>
          <a:ea typeface="Verdana"/>
          <a:cs typeface="Verdana"/>
        </a:defRPr>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1"/>
              <a:t>Demandas de despido presentadas por cada 100.000 habitantes. Cuarto trimestre de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'Despidos presentados TSJ'!$B$53:$B$69</c:f>
              <c:strCache>
                <c:ptCount val="17"/>
                <c:pt idx="0">
                  <c:v>ANDALUCÍA</c:v>
                </c:pt>
                <c:pt idx="1">
                  <c:v>ARAGÓN</c:v>
                </c:pt>
                <c:pt idx="2">
                  <c:v>ASTURIAS, PRINCIPADO</c:v>
                </c:pt>
                <c:pt idx="3">
                  <c:v>ILLES BALEARS</c:v>
                </c:pt>
                <c:pt idx="4">
                  <c:v>CANARIAS</c:v>
                </c:pt>
                <c:pt idx="5">
                  <c:v>CANTABRIA</c:v>
                </c:pt>
                <c:pt idx="6">
                  <c:v>CASTILLA - LEÓN</c:v>
                </c:pt>
                <c:pt idx="7">
                  <c:v>CASTILLA - LA MANCHA</c:v>
                </c:pt>
                <c:pt idx="8">
                  <c:v>CATALUÑA</c:v>
                </c:pt>
                <c:pt idx="9">
                  <c:v>C. VALENCIANA</c:v>
                </c:pt>
                <c:pt idx="10">
                  <c:v>EXTREMADURA</c:v>
                </c:pt>
                <c:pt idx="11">
                  <c:v>GALICIA</c:v>
                </c:pt>
                <c:pt idx="12">
                  <c:v>MADRID, COMUNIDAD</c:v>
                </c:pt>
                <c:pt idx="13">
                  <c:v>MURCIA, REGIÓN</c:v>
                </c:pt>
                <c:pt idx="14">
                  <c:v>NAVARRA, COM. FORAL</c:v>
                </c:pt>
                <c:pt idx="15">
                  <c:v>PAÍS VASCO</c:v>
                </c:pt>
                <c:pt idx="16">
                  <c:v>LA RIOJA</c:v>
                </c:pt>
              </c:strCache>
            </c:strRef>
          </c:cat>
          <c:val>
            <c:numRef>
              <c:f>'Despidos presentados TSJ'!$J$53:$J$69</c:f>
              <c:numCache>
                <c:formatCode>#,##0.0</c:formatCode>
                <c:ptCount val="17"/>
                <c:pt idx="0">
                  <c:v>47.279709934466801</c:v>
                </c:pt>
                <c:pt idx="1">
                  <c:v>59.565952704633553</c:v>
                </c:pt>
                <c:pt idx="2">
                  <c:v>55.446178661226817</c:v>
                </c:pt>
                <c:pt idx="3">
                  <c:v>62.233164650198461</c:v>
                </c:pt>
                <c:pt idx="4">
                  <c:v>93.789807744700269</c:v>
                </c:pt>
                <c:pt idx="5">
                  <c:v>43.113256128669121</c:v>
                </c:pt>
                <c:pt idx="6">
                  <c:v>38.940238064166628</c:v>
                </c:pt>
                <c:pt idx="7">
                  <c:v>34.543965979072603</c:v>
                </c:pt>
                <c:pt idx="8">
                  <c:v>68.642941035082487</c:v>
                </c:pt>
                <c:pt idx="9">
                  <c:v>61.129213951853423</c:v>
                </c:pt>
                <c:pt idx="10">
                  <c:v>35.488404446999105</c:v>
                </c:pt>
                <c:pt idx="11">
                  <c:v>41.474303923550764</c:v>
                </c:pt>
                <c:pt idx="12">
                  <c:v>87.657828156589048</c:v>
                </c:pt>
                <c:pt idx="13">
                  <c:v>51.82793914464802</c:v>
                </c:pt>
                <c:pt idx="14">
                  <c:v>33.255887425797802</c:v>
                </c:pt>
                <c:pt idx="15">
                  <c:v>53.25220088771735</c:v>
                </c:pt>
                <c:pt idx="16">
                  <c:v>33.458830004127627</c:v>
                </c:pt>
              </c:numCache>
            </c:numRef>
          </c:val>
          <c:extLst>
            <c:ext xmlns:c16="http://schemas.microsoft.com/office/drawing/2014/chart" uri="{C3380CC4-5D6E-409C-BE32-E72D297353CC}">
              <c16:uniqueId val="{00000000-55BD-4584-BB9A-B2BA4BB5EC9B}"/>
            </c:ext>
          </c:extLst>
        </c:ser>
        <c:dLbls>
          <c:showLegendKey val="0"/>
          <c:showVal val="0"/>
          <c:showCatName val="0"/>
          <c:showSerName val="0"/>
          <c:showPercent val="0"/>
          <c:showBubbleSize val="0"/>
        </c:dLbls>
        <c:gapWidth val="219"/>
        <c:overlap val="-27"/>
        <c:axId val="743087712"/>
        <c:axId val="743088040"/>
      </c:barChart>
      <c:catAx>
        <c:axId val="74308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50" b="1" i="0" u="none" strike="noStrike" kern="1200" baseline="0">
                <a:solidFill>
                  <a:schemeClr val="tx1">
                    <a:lumMod val="65000"/>
                    <a:lumOff val="35000"/>
                  </a:schemeClr>
                </a:solidFill>
                <a:latin typeface="Verdana" panose="020B0604030504040204" pitchFamily="34" charset="0"/>
                <a:ea typeface="+mn-ea"/>
                <a:cs typeface="+mn-cs"/>
              </a:defRPr>
            </a:pPr>
            <a:endParaRPr lang="es-ES"/>
          </a:p>
        </c:txPr>
        <c:crossAx val="743088040"/>
        <c:crosses val="autoZero"/>
        <c:auto val="1"/>
        <c:lblAlgn val="ctr"/>
        <c:lblOffset val="100"/>
        <c:noMultiLvlLbl val="0"/>
      </c:catAx>
      <c:valAx>
        <c:axId val="743088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ES"/>
          </a:p>
        </c:txPr>
        <c:crossAx val="743087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1"/>
              <a:t>Demandas de reclamación de cantidad presentadas por cada 100.000 habitantes. Cuarto trimestre de 2021</a:t>
            </a:r>
          </a:p>
        </c:rich>
      </c:tx>
      <c:layout>
        <c:manualLayout>
          <c:xMode val="edge"/>
          <c:yMode val="edge"/>
          <c:x val="0.14633738964447629"/>
          <c:y val="1.62107396149949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'Recl. cantidad TSJ'!$B$52:$B$68</c:f>
              <c:strCache>
                <c:ptCount val="17"/>
                <c:pt idx="0">
                  <c:v>ANDALUCÍA</c:v>
                </c:pt>
                <c:pt idx="1">
                  <c:v>ARAGÓN</c:v>
                </c:pt>
                <c:pt idx="2">
                  <c:v>ASTURIAS, PRINCIPADO</c:v>
                </c:pt>
                <c:pt idx="3">
                  <c:v>ILLES BALEARS</c:v>
                </c:pt>
                <c:pt idx="4">
                  <c:v>CANARIAS</c:v>
                </c:pt>
                <c:pt idx="5">
                  <c:v>CANTABRIA</c:v>
                </c:pt>
                <c:pt idx="6">
                  <c:v>CASTILLA - LEÓN</c:v>
                </c:pt>
                <c:pt idx="7">
                  <c:v>CASTILLA - LA MANCHA</c:v>
                </c:pt>
                <c:pt idx="8">
                  <c:v>CATALUÑA</c:v>
                </c:pt>
                <c:pt idx="9">
                  <c:v>C. VALENCIANA</c:v>
                </c:pt>
                <c:pt idx="10">
                  <c:v>EXTREMADURA</c:v>
                </c:pt>
                <c:pt idx="11">
                  <c:v>GALICIA</c:v>
                </c:pt>
                <c:pt idx="12">
                  <c:v>MADRID, COMUNIDAD</c:v>
                </c:pt>
                <c:pt idx="13">
                  <c:v>MURCIA, REGIÓN</c:v>
                </c:pt>
                <c:pt idx="14">
                  <c:v>NAVARRA, COM. FORAL</c:v>
                </c:pt>
                <c:pt idx="15">
                  <c:v>PAÍS VASCO</c:v>
                </c:pt>
                <c:pt idx="16">
                  <c:v>LA RIOJA</c:v>
                </c:pt>
              </c:strCache>
            </c:strRef>
          </c:cat>
          <c:val>
            <c:numRef>
              <c:f>'Recl. cantidad TSJ'!$J$52:$J$68</c:f>
              <c:numCache>
                <c:formatCode>#,##0.0</c:formatCode>
                <c:ptCount val="17"/>
                <c:pt idx="0">
                  <c:v>57.184612456224905</c:v>
                </c:pt>
                <c:pt idx="1">
                  <c:v>50.291760068342505</c:v>
                </c:pt>
                <c:pt idx="2">
                  <c:v>91.718455967234377</c:v>
                </c:pt>
                <c:pt idx="3">
                  <c:v>55.157339080381377</c:v>
                </c:pt>
                <c:pt idx="4">
                  <c:v>86.656628058523367</c:v>
                </c:pt>
                <c:pt idx="5">
                  <c:v>78.014463470925079</c:v>
                </c:pt>
                <c:pt idx="6">
                  <c:v>81.573084910280102</c:v>
                </c:pt>
                <c:pt idx="7">
                  <c:v>48.790912399820058</c:v>
                </c:pt>
                <c:pt idx="8">
                  <c:v>47.621120849446413</c:v>
                </c:pt>
                <c:pt idx="9">
                  <c:v>55.297028274040763</c:v>
                </c:pt>
                <c:pt idx="10">
                  <c:v>49.834780712807259</c:v>
                </c:pt>
                <c:pt idx="11">
                  <c:v>77.346980036317831</c:v>
                </c:pt>
                <c:pt idx="12">
                  <c:v>83.066086566771105</c:v>
                </c:pt>
                <c:pt idx="13">
                  <c:v>31.939708367413328</c:v>
                </c:pt>
                <c:pt idx="14">
                  <c:v>39.151249287643772</c:v>
                </c:pt>
                <c:pt idx="15">
                  <c:v>102.62001731712793</c:v>
                </c:pt>
                <c:pt idx="16">
                  <c:v>55.973182904101364</c:v>
                </c:pt>
              </c:numCache>
            </c:numRef>
          </c:val>
          <c:extLst>
            <c:ext xmlns:c16="http://schemas.microsoft.com/office/drawing/2014/chart" uri="{C3380CC4-5D6E-409C-BE32-E72D297353CC}">
              <c16:uniqueId val="{00000000-70B7-4EAE-870D-A6287F1B4306}"/>
            </c:ext>
          </c:extLst>
        </c:ser>
        <c:dLbls>
          <c:showLegendKey val="0"/>
          <c:showVal val="0"/>
          <c:showCatName val="0"/>
          <c:showSerName val="0"/>
          <c:showPercent val="0"/>
          <c:showBubbleSize val="0"/>
        </c:dLbls>
        <c:gapWidth val="219"/>
        <c:overlap val="-27"/>
        <c:axId val="743087712"/>
        <c:axId val="743088040"/>
      </c:barChart>
      <c:catAx>
        <c:axId val="74308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Verdana" panose="020B0604030504040204" pitchFamily="34" charset="0"/>
                <a:ea typeface="+mn-ea"/>
                <a:cs typeface="+mn-cs"/>
              </a:defRPr>
            </a:pPr>
            <a:endParaRPr lang="es-ES"/>
          </a:p>
        </c:txPr>
        <c:crossAx val="743088040"/>
        <c:crosses val="autoZero"/>
        <c:auto val="1"/>
        <c:lblAlgn val="ctr"/>
        <c:lblOffset val="100"/>
        <c:noMultiLvlLbl val="0"/>
      </c:catAx>
      <c:valAx>
        <c:axId val="743088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ES"/>
          </a:p>
        </c:txPr>
        <c:crossAx val="743087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t>Verbales posesorios por ocupación ilegal de viviendas ingresados. Cuarto trimestre de 2021</a:t>
            </a:r>
          </a:p>
        </c:rich>
      </c:tx>
      <c:layout>
        <c:manualLayout>
          <c:xMode val="edge"/>
          <c:yMode val="edge"/>
          <c:x val="0.16514187303874081"/>
          <c:y val="2.1563342318059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'Lanzamientos. Otros TSJ'!$B$6:$B$22</c:f>
              <c:strCache>
                <c:ptCount val="17"/>
                <c:pt idx="0">
                  <c:v>ANDALUCÍA</c:v>
                </c:pt>
                <c:pt idx="1">
                  <c:v>ARAGÓN</c:v>
                </c:pt>
                <c:pt idx="2">
                  <c:v>ASTURIAS, PRINCIPADO</c:v>
                </c:pt>
                <c:pt idx="3">
                  <c:v>ILLES BALEARS</c:v>
                </c:pt>
                <c:pt idx="4">
                  <c:v>CANARIAS</c:v>
                </c:pt>
                <c:pt idx="5">
                  <c:v>CANTABRIA</c:v>
                </c:pt>
                <c:pt idx="6">
                  <c:v>CASTILLA Y LEÓN</c:v>
                </c:pt>
                <c:pt idx="7">
                  <c:v>CASTILLA - LA MANCHA</c:v>
                </c:pt>
                <c:pt idx="8">
                  <c:v>CATALUÑA</c:v>
                </c:pt>
                <c:pt idx="9">
                  <c:v>COMUNITAT VALENCIANA</c:v>
                </c:pt>
                <c:pt idx="10">
                  <c:v>EXTREMADURA</c:v>
                </c:pt>
                <c:pt idx="11">
                  <c:v>GALICIA</c:v>
                </c:pt>
                <c:pt idx="12">
                  <c:v>MADRID, COMUNIDAD</c:v>
                </c:pt>
                <c:pt idx="13">
                  <c:v>MURCIA, REGIÓN</c:v>
                </c:pt>
                <c:pt idx="14">
                  <c:v>NAVARRA, COM. FORAL</c:v>
                </c:pt>
                <c:pt idx="15">
                  <c:v>PAÍS VASCO</c:v>
                </c:pt>
                <c:pt idx="16">
                  <c:v>LA RIOJA</c:v>
                </c:pt>
              </c:strCache>
            </c:strRef>
          </c:cat>
          <c:val>
            <c:numRef>
              <c:f>'Verb. pos. ocupas'!$J$7:$J$23</c:f>
              <c:numCache>
                <c:formatCode>#,##0</c:formatCode>
                <c:ptCount val="17"/>
                <c:pt idx="0">
                  <c:v>163</c:v>
                </c:pt>
                <c:pt idx="1">
                  <c:v>7</c:v>
                </c:pt>
                <c:pt idx="2">
                  <c:v>3</c:v>
                </c:pt>
                <c:pt idx="3">
                  <c:v>20</c:v>
                </c:pt>
                <c:pt idx="4">
                  <c:v>35</c:v>
                </c:pt>
                <c:pt idx="5">
                  <c:v>5</c:v>
                </c:pt>
                <c:pt idx="6">
                  <c:v>24</c:v>
                </c:pt>
                <c:pt idx="7">
                  <c:v>47</c:v>
                </c:pt>
                <c:pt idx="8">
                  <c:v>173</c:v>
                </c:pt>
                <c:pt idx="9">
                  <c:v>105</c:v>
                </c:pt>
                <c:pt idx="10">
                  <c:v>6</c:v>
                </c:pt>
                <c:pt idx="11">
                  <c:v>22</c:v>
                </c:pt>
                <c:pt idx="12">
                  <c:v>51</c:v>
                </c:pt>
                <c:pt idx="13">
                  <c:v>46</c:v>
                </c:pt>
                <c:pt idx="14">
                  <c:v>3</c:v>
                </c:pt>
                <c:pt idx="15">
                  <c:v>15</c:v>
                </c:pt>
                <c:pt idx="16">
                  <c:v>1</c:v>
                </c:pt>
              </c:numCache>
            </c:numRef>
          </c:val>
          <c:extLst>
            <c:ext xmlns:c16="http://schemas.microsoft.com/office/drawing/2014/chart" uri="{C3380CC4-5D6E-409C-BE32-E72D297353CC}">
              <c16:uniqueId val="{00000000-E1A2-483E-B5C1-6A900E4F1A83}"/>
            </c:ext>
          </c:extLst>
        </c:ser>
        <c:dLbls>
          <c:showLegendKey val="0"/>
          <c:showVal val="0"/>
          <c:showCatName val="0"/>
          <c:showSerName val="0"/>
          <c:showPercent val="0"/>
          <c:showBubbleSize val="0"/>
        </c:dLbls>
        <c:gapWidth val="219"/>
        <c:overlap val="-27"/>
        <c:axId val="743087712"/>
        <c:axId val="743088040"/>
      </c:barChart>
      <c:catAx>
        <c:axId val="74308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50" b="1" i="0" u="none" strike="noStrike" kern="1200" baseline="0">
                <a:solidFill>
                  <a:schemeClr val="tx1">
                    <a:lumMod val="65000"/>
                    <a:lumOff val="35000"/>
                  </a:schemeClr>
                </a:solidFill>
                <a:latin typeface="Verdana" panose="020B0604030504040204" pitchFamily="34" charset="0"/>
                <a:ea typeface="+mn-ea"/>
                <a:cs typeface="+mn-cs"/>
              </a:defRPr>
            </a:pPr>
            <a:endParaRPr lang="es-ES"/>
          </a:p>
        </c:txPr>
        <c:crossAx val="743088040"/>
        <c:crosses val="autoZero"/>
        <c:auto val="1"/>
        <c:lblAlgn val="ctr"/>
        <c:lblOffset val="100"/>
        <c:noMultiLvlLbl val="0"/>
      </c:catAx>
      <c:valAx>
        <c:axId val="743088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ES"/>
          </a:p>
        </c:txPr>
        <c:crossAx val="743087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1"/>
              <a:t>Concursos presentados en los Juzgados de lo Mercantil en 2021 por cada 100.000 habitantes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'Concursos presentados Jmer TSJ'!$B$52:$B$68</c:f>
              <c:strCache>
                <c:ptCount val="17"/>
                <c:pt idx="0">
                  <c:v>ANDALUCÍA</c:v>
                </c:pt>
                <c:pt idx="1">
                  <c:v>ARAGÓN</c:v>
                </c:pt>
                <c:pt idx="2">
                  <c:v>ASTURIAS, PRINCIPADO</c:v>
                </c:pt>
                <c:pt idx="3">
                  <c:v>ILLES BALEARS</c:v>
                </c:pt>
                <c:pt idx="4">
                  <c:v>CANARIAS</c:v>
                </c:pt>
                <c:pt idx="5">
                  <c:v>CANTABRIA</c:v>
                </c:pt>
                <c:pt idx="6">
                  <c:v>CASTILLA - LEÓN</c:v>
                </c:pt>
                <c:pt idx="7">
                  <c:v>CASTILLA - LA MANCHA</c:v>
                </c:pt>
                <c:pt idx="8">
                  <c:v>CATALUÑA</c:v>
                </c:pt>
                <c:pt idx="9">
                  <c:v>C. VALENCIANA</c:v>
                </c:pt>
                <c:pt idx="10">
                  <c:v>EXTREMADURA</c:v>
                </c:pt>
                <c:pt idx="11">
                  <c:v>GALICIA</c:v>
                </c:pt>
                <c:pt idx="12">
                  <c:v>MADRID, COMUNIDAD</c:v>
                </c:pt>
                <c:pt idx="13">
                  <c:v>MURCIA, REGIÓN</c:v>
                </c:pt>
                <c:pt idx="14">
                  <c:v>NAVARRA, COM. FORAL</c:v>
                </c:pt>
                <c:pt idx="15">
                  <c:v>PAÍS VASCO</c:v>
                </c:pt>
                <c:pt idx="16">
                  <c:v>LA RIOJA</c:v>
                </c:pt>
              </c:strCache>
            </c:strRef>
          </c:cat>
          <c:val>
            <c:numRef>
              <c:f>'Concursos presentados Jmer TSJ'!$C$52:$C$68</c:f>
              <c:numCache>
                <c:formatCode>#,##0.0</c:formatCode>
                <c:ptCount val="17"/>
                <c:pt idx="0">
                  <c:v>9.6966218612538384</c:v>
                </c:pt>
                <c:pt idx="1">
                  <c:v>13.194989523178318</c:v>
                </c:pt>
                <c:pt idx="2">
                  <c:v>15.220519632493636</c:v>
                </c:pt>
                <c:pt idx="3">
                  <c:v>17.561687558823127</c:v>
                </c:pt>
                <c:pt idx="4">
                  <c:v>8.6058361375166594</c:v>
                </c:pt>
                <c:pt idx="5">
                  <c:v>10.436145332733398</c:v>
                </c:pt>
                <c:pt idx="6">
                  <c:v>12.714323419657855</c:v>
                </c:pt>
                <c:pt idx="7">
                  <c:v>12.490473574353935</c:v>
                </c:pt>
                <c:pt idx="8">
                  <c:v>38.333907397336361</c:v>
                </c:pt>
                <c:pt idx="9">
                  <c:v>23.289202469367186</c:v>
                </c:pt>
                <c:pt idx="10">
                  <c:v>9.815941655552944</c:v>
                </c:pt>
                <c:pt idx="11">
                  <c:v>11.61132122367745</c:v>
                </c:pt>
                <c:pt idx="12">
                  <c:v>22.484721720463366</c:v>
                </c:pt>
                <c:pt idx="13">
                  <c:v>10.931941420599202</c:v>
                </c:pt>
                <c:pt idx="14">
                  <c:v>7.255829983810429</c:v>
                </c:pt>
                <c:pt idx="15">
                  <c:v>15.311701527511605</c:v>
                </c:pt>
                <c:pt idx="16">
                  <c:v>20.012758133309987</c:v>
                </c:pt>
              </c:numCache>
            </c:numRef>
          </c:val>
          <c:extLst>
            <c:ext xmlns:c16="http://schemas.microsoft.com/office/drawing/2014/chart" uri="{C3380CC4-5D6E-409C-BE32-E72D297353CC}">
              <c16:uniqueId val="{00000000-92E8-456B-8D02-E5382ED0560C}"/>
            </c:ext>
          </c:extLst>
        </c:ser>
        <c:dLbls>
          <c:showLegendKey val="0"/>
          <c:showVal val="0"/>
          <c:showCatName val="0"/>
          <c:showSerName val="0"/>
          <c:showPercent val="0"/>
          <c:showBubbleSize val="0"/>
        </c:dLbls>
        <c:gapWidth val="219"/>
        <c:overlap val="-27"/>
        <c:axId val="743087712"/>
        <c:axId val="743088040"/>
      </c:barChart>
      <c:catAx>
        <c:axId val="74308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57" b="1" i="0" u="none" strike="noStrike" kern="1200" baseline="0">
                <a:solidFill>
                  <a:schemeClr val="tx1">
                    <a:lumMod val="65000"/>
                    <a:lumOff val="35000"/>
                  </a:schemeClr>
                </a:solidFill>
                <a:latin typeface="Verdana" panose="020B0604030504040204" pitchFamily="34" charset="0"/>
                <a:ea typeface="+mn-ea"/>
                <a:cs typeface="+mn-cs"/>
              </a:defRPr>
            </a:pPr>
            <a:endParaRPr lang="es-ES"/>
          </a:p>
        </c:txPr>
        <c:crossAx val="743088040"/>
        <c:crosses val="autoZero"/>
        <c:auto val="1"/>
        <c:lblAlgn val="ctr"/>
        <c:lblOffset val="100"/>
        <c:noMultiLvlLbl val="0"/>
      </c:catAx>
      <c:valAx>
        <c:axId val="743088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ES"/>
          </a:p>
        </c:txPr>
        <c:crossAx val="743087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S" sz="1200" b="1"/>
              <a:t>Verbales posesorios por ocupación ilegal de viviendas por cada 100.000 habitantes.</a:t>
            </a:r>
            <a:r>
              <a:rPr lang="es-ES" sz="1200" b="1" baseline="0"/>
              <a:t> Cuarto</a:t>
            </a:r>
            <a:r>
              <a:rPr lang="es-ES" sz="1200" b="1"/>
              <a:t> trimestre de 2021</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'Verb. pos. ocupas'!$B$52:$B$68</c:f>
              <c:strCache>
                <c:ptCount val="17"/>
                <c:pt idx="0">
                  <c:v>ANDALUCÍA</c:v>
                </c:pt>
                <c:pt idx="1">
                  <c:v>ARAGÓN</c:v>
                </c:pt>
                <c:pt idx="2">
                  <c:v>ASTURIAS, PRINCIPADO</c:v>
                </c:pt>
                <c:pt idx="3">
                  <c:v>ILLES BALEARS</c:v>
                </c:pt>
                <c:pt idx="4">
                  <c:v>CANARIAS</c:v>
                </c:pt>
                <c:pt idx="5">
                  <c:v>CANTABRIA</c:v>
                </c:pt>
                <c:pt idx="6">
                  <c:v>CASTILLA - LEÓN</c:v>
                </c:pt>
                <c:pt idx="7">
                  <c:v>CASTILLA - LA MANCHA</c:v>
                </c:pt>
                <c:pt idx="8">
                  <c:v>CATALUÑA</c:v>
                </c:pt>
                <c:pt idx="9">
                  <c:v>C. VALENCIANA</c:v>
                </c:pt>
                <c:pt idx="10">
                  <c:v>EXTREMADURA</c:v>
                </c:pt>
                <c:pt idx="11">
                  <c:v>GALICIA</c:v>
                </c:pt>
                <c:pt idx="12">
                  <c:v>MADRID, COMUNIDAD</c:v>
                </c:pt>
                <c:pt idx="13">
                  <c:v>MURCIA, REGIÓN</c:v>
                </c:pt>
                <c:pt idx="14">
                  <c:v>NAVARRA, COM. FORAL</c:v>
                </c:pt>
                <c:pt idx="15">
                  <c:v>PAÍS VASCO</c:v>
                </c:pt>
                <c:pt idx="16">
                  <c:v>LA RIOJA</c:v>
                </c:pt>
              </c:strCache>
            </c:strRef>
          </c:cat>
          <c:val>
            <c:numRef>
              <c:f>'Verb. pos. ocupas'!$J$52:$J$68</c:f>
              <c:numCache>
                <c:formatCode>#,##0.0</c:formatCode>
                <c:ptCount val="17"/>
                <c:pt idx="0">
                  <c:v>1.8860970923441238</c:v>
                </c:pt>
                <c:pt idx="1">
                  <c:v>0.52779958092713275</c:v>
                </c:pt>
                <c:pt idx="2">
                  <c:v>0.29650362920442147</c:v>
                </c:pt>
                <c:pt idx="3">
                  <c:v>1.7050182095944786</c:v>
                </c:pt>
                <c:pt idx="4">
                  <c:v>1.6107179936528506</c:v>
                </c:pt>
                <c:pt idx="5">
                  <c:v>0.85542174858470466</c:v>
                </c:pt>
                <c:pt idx="6">
                  <c:v>1.007075122349137</c:v>
                </c:pt>
                <c:pt idx="7">
                  <c:v>2.2931728827915427</c:v>
                </c:pt>
                <c:pt idx="8">
                  <c:v>2.228415987815588</c:v>
                </c:pt>
                <c:pt idx="9">
                  <c:v>2.075862698882474</c:v>
                </c:pt>
                <c:pt idx="10">
                  <c:v>0.56630432628190064</c:v>
                </c:pt>
                <c:pt idx="11">
                  <c:v>0.81613120422014029</c:v>
                </c:pt>
                <c:pt idx="12">
                  <c:v>0.75541555187327503</c:v>
                </c:pt>
                <c:pt idx="13">
                  <c:v>3.0293331647443575</c:v>
                </c:pt>
                <c:pt idx="14">
                  <c:v>0.45348937398815181</c:v>
                </c:pt>
                <c:pt idx="15">
                  <c:v>0.67750891714653116</c:v>
                </c:pt>
                <c:pt idx="16">
                  <c:v>0.31269934583296854</c:v>
                </c:pt>
              </c:numCache>
            </c:numRef>
          </c:val>
          <c:extLst>
            <c:ext xmlns:c16="http://schemas.microsoft.com/office/drawing/2014/chart" uri="{C3380CC4-5D6E-409C-BE32-E72D297353CC}">
              <c16:uniqueId val="{00000000-39FE-4227-B56E-BBC14B1932B2}"/>
            </c:ext>
          </c:extLst>
        </c:ser>
        <c:dLbls>
          <c:showLegendKey val="0"/>
          <c:showVal val="0"/>
          <c:showCatName val="0"/>
          <c:showSerName val="0"/>
          <c:showPercent val="0"/>
          <c:showBubbleSize val="0"/>
        </c:dLbls>
        <c:gapWidth val="219"/>
        <c:overlap val="-27"/>
        <c:axId val="743087712"/>
        <c:axId val="743088040"/>
      </c:barChart>
      <c:catAx>
        <c:axId val="74308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Verdana" panose="020B0604030504040204" pitchFamily="34" charset="0"/>
                <a:ea typeface="+mn-ea"/>
                <a:cs typeface="+mn-cs"/>
              </a:defRPr>
            </a:pPr>
            <a:endParaRPr lang="es-ES"/>
          </a:p>
        </c:txPr>
        <c:crossAx val="743088040"/>
        <c:crosses val="autoZero"/>
        <c:auto val="1"/>
        <c:lblAlgn val="ctr"/>
        <c:lblOffset val="100"/>
        <c:noMultiLvlLbl val="0"/>
      </c:catAx>
      <c:valAx>
        <c:axId val="7430880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ES"/>
          </a:p>
        </c:txPr>
        <c:crossAx val="743087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Verdana" panose="020B0604030504040204" pitchFamily="34" charset="0"/>
                <a:ea typeface="Verdana" panose="020B0604030504040204" pitchFamily="34" charset="0"/>
              </a:rPr>
              <a:t>Concursos</a:t>
            </a:r>
            <a:r>
              <a:rPr lang="en-US" sz="1200" b="1" baseline="0">
                <a:latin typeface="Verdana" panose="020B0604030504040204" pitchFamily="34" charset="0"/>
                <a:ea typeface="Verdana" panose="020B0604030504040204" pitchFamily="34" charset="0"/>
              </a:rPr>
              <a:t> presentados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chemeClr val="tx2">
                <a:lumMod val="40000"/>
                <a:lumOff val="60000"/>
              </a:schemeClr>
            </a:solidFill>
          </c:spPr>
          <c:dPt>
            <c:idx val="0"/>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168A-4FB6-A3F0-5B5FDB0A2AFC}"/>
              </c:ext>
            </c:extLst>
          </c:dPt>
          <c:dPt>
            <c:idx val="1"/>
            <c:bubble3D val="0"/>
            <c:spPr>
              <a:solidFill>
                <a:schemeClr val="accent5">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168A-4FB6-A3F0-5B5FDB0A2AFC}"/>
              </c:ext>
            </c:extLst>
          </c:dPt>
          <c:dPt>
            <c:idx val="2"/>
            <c:bubble3D val="0"/>
            <c:spPr>
              <a:solidFill>
                <a:schemeClr val="accent1">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168A-4FB6-A3F0-5B5FDB0A2AF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s-E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Hoja2!$B$3:$D$3</c:f>
              <c:strCache>
                <c:ptCount val="3"/>
                <c:pt idx="0">
                  <c:v>Personas fisicas empresarios</c:v>
                </c:pt>
                <c:pt idx="1">
                  <c:v>Personas jurídicas</c:v>
                </c:pt>
                <c:pt idx="2">
                  <c:v>Persona natural no emrpesario</c:v>
                </c:pt>
              </c:strCache>
            </c:strRef>
          </c:cat>
          <c:val>
            <c:numRef>
              <c:f>Hoja2!$B$4:$D$4</c:f>
              <c:numCache>
                <c:formatCode>#,##0</c:formatCode>
                <c:ptCount val="3"/>
                <c:pt idx="0">
                  <c:v>3512</c:v>
                </c:pt>
                <c:pt idx="1">
                  <c:v>5374</c:v>
                </c:pt>
                <c:pt idx="2">
                  <c:v>10006</c:v>
                </c:pt>
              </c:numCache>
            </c:numRef>
          </c:val>
          <c:extLst>
            <c:ext xmlns:c16="http://schemas.microsoft.com/office/drawing/2014/chart" uri="{C3380CC4-5D6E-409C-BE32-E72D297353CC}">
              <c16:uniqueId val="{00000006-168A-4FB6-A3F0-5B5FDB0A2AF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S" sz="1400" b="1"/>
              <a:t>Ejecuciones hipotecarias presentadas en 2021 por cada 100.000 habitantes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 Hipot. presentados TSJ '!$B$52:$B$68</c:f>
              <c:strCache>
                <c:ptCount val="17"/>
                <c:pt idx="0">
                  <c:v>ANDALUCÍA</c:v>
                </c:pt>
                <c:pt idx="1">
                  <c:v>ARAGÓN</c:v>
                </c:pt>
                <c:pt idx="2">
                  <c:v>ASTURIAS, PRINCIPADO</c:v>
                </c:pt>
                <c:pt idx="3">
                  <c:v>ILLES BALEARS</c:v>
                </c:pt>
                <c:pt idx="4">
                  <c:v>CANARIAS</c:v>
                </c:pt>
                <c:pt idx="5">
                  <c:v>CANTABRIA</c:v>
                </c:pt>
                <c:pt idx="6">
                  <c:v>CASTILLA - LEÓN</c:v>
                </c:pt>
                <c:pt idx="7">
                  <c:v>CASTILLA - LA MANCHA</c:v>
                </c:pt>
                <c:pt idx="8">
                  <c:v>CATALUÑA</c:v>
                </c:pt>
                <c:pt idx="9">
                  <c:v>C. VALENCIANA</c:v>
                </c:pt>
                <c:pt idx="10">
                  <c:v>EXTREMADURA</c:v>
                </c:pt>
                <c:pt idx="11">
                  <c:v>GALICIA</c:v>
                </c:pt>
                <c:pt idx="12">
                  <c:v>MADRID, COMUNIDAD</c:v>
                </c:pt>
                <c:pt idx="13">
                  <c:v>MURCIA, REGIÓN</c:v>
                </c:pt>
                <c:pt idx="14">
                  <c:v>NAVARRA, COM. FORAL</c:v>
                </c:pt>
                <c:pt idx="15">
                  <c:v>PAÍS VASCO</c:v>
                </c:pt>
                <c:pt idx="16">
                  <c:v>LA RIOJA</c:v>
                </c:pt>
              </c:strCache>
            </c:strRef>
          </c:cat>
          <c:val>
            <c:numRef>
              <c:f>'Ej. Hipot. presentados TSJ '!$C$52:$C$68</c:f>
              <c:numCache>
                <c:formatCode>#,##0.0</c:formatCode>
                <c:ptCount val="17"/>
                <c:pt idx="0">
                  <c:v>65.990255936432746</c:v>
                </c:pt>
                <c:pt idx="1">
                  <c:v>32.57130520666982</c:v>
                </c:pt>
                <c:pt idx="2">
                  <c:v>34.35468165970412</c:v>
                </c:pt>
                <c:pt idx="3">
                  <c:v>28.167980176570559</c:v>
                </c:pt>
                <c:pt idx="4">
                  <c:v>34.008103119921763</c:v>
                </c:pt>
                <c:pt idx="5">
                  <c:v>36.712671876206244</c:v>
                </c:pt>
                <c:pt idx="6">
                  <c:v>25.595865912736887</c:v>
                </c:pt>
                <c:pt idx="7">
                  <c:v>44.591758054508539</c:v>
                </c:pt>
                <c:pt idx="8">
                  <c:v>59.674989161978324</c:v>
                </c:pt>
                <c:pt idx="9">
                  <c:v>71.895317570278365</c:v>
                </c:pt>
                <c:pt idx="10">
                  <c:v>24.248416568999435</c:v>
                </c:pt>
                <c:pt idx="11">
                  <c:v>28.573342625838372</c:v>
                </c:pt>
                <c:pt idx="12">
                  <c:v>26.121375456349725</c:v>
                </c:pt>
                <c:pt idx="13">
                  <c:v>85.558256040856207</c:v>
                </c:pt>
                <c:pt idx="14">
                  <c:v>18.905106949971039</c:v>
                </c:pt>
                <c:pt idx="15">
                  <c:v>23.012793491927958</c:v>
                </c:pt>
                <c:pt idx="16">
                  <c:v>40.635920903742885</c:v>
                </c:pt>
              </c:numCache>
            </c:numRef>
          </c:val>
          <c:extLst>
            <c:ext xmlns:c16="http://schemas.microsoft.com/office/drawing/2014/chart" uri="{C3380CC4-5D6E-409C-BE32-E72D297353CC}">
              <c16:uniqueId val="{00000000-1775-48DC-B539-11641DDC38C9}"/>
            </c:ext>
          </c:extLst>
        </c:ser>
        <c:dLbls>
          <c:showLegendKey val="0"/>
          <c:showVal val="0"/>
          <c:showCatName val="0"/>
          <c:showSerName val="0"/>
          <c:showPercent val="0"/>
          <c:showBubbleSize val="0"/>
        </c:dLbls>
        <c:gapWidth val="219"/>
        <c:overlap val="-27"/>
        <c:axId val="743087712"/>
        <c:axId val="743088040"/>
      </c:barChart>
      <c:catAx>
        <c:axId val="74308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50" b="1" i="0" u="none" strike="noStrike" kern="1200" baseline="0">
                <a:solidFill>
                  <a:schemeClr val="tx1">
                    <a:lumMod val="65000"/>
                    <a:lumOff val="35000"/>
                  </a:schemeClr>
                </a:solidFill>
                <a:latin typeface="Verdana" panose="020B0604030504040204" pitchFamily="34" charset="0"/>
                <a:ea typeface="+mn-ea"/>
                <a:cs typeface="+mn-cs"/>
              </a:defRPr>
            </a:pPr>
            <a:endParaRPr lang="es-ES"/>
          </a:p>
        </c:txPr>
        <c:crossAx val="743088040"/>
        <c:crosses val="autoZero"/>
        <c:auto val="1"/>
        <c:lblAlgn val="ctr"/>
        <c:lblOffset val="100"/>
        <c:noMultiLvlLbl val="0"/>
      </c:catAx>
      <c:valAx>
        <c:axId val="743088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ES"/>
          </a:p>
        </c:txPr>
        <c:crossAx val="743087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1"/>
              <a:t>Lanzamientos derivados de E.H. practicados en 2021 por cada 100.000 habitantes</a:t>
            </a:r>
          </a:p>
        </c:rich>
      </c:tx>
      <c:layout>
        <c:manualLayout>
          <c:xMode val="edge"/>
          <c:yMode val="edge"/>
          <c:x val="0.10244966924716459"/>
          <c:y val="1.60160160160160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4.9767099270693928E-2"/>
          <c:y val="0.18482075816472304"/>
          <c:w val="0.9058769289964409"/>
          <c:h val="0.49933550989053205"/>
        </c:manualLayout>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'Lanzamientos E.hipotecaria TSJ'!$B$55:$B$71</c:f>
              <c:strCache>
                <c:ptCount val="17"/>
                <c:pt idx="0">
                  <c:v>ANDALUCÍA</c:v>
                </c:pt>
                <c:pt idx="1">
                  <c:v>ARAGÓN</c:v>
                </c:pt>
                <c:pt idx="2">
                  <c:v>ASTURIAS, PRINCIPADO</c:v>
                </c:pt>
                <c:pt idx="3">
                  <c:v>ILLES BALEARS</c:v>
                </c:pt>
                <c:pt idx="4">
                  <c:v>CANARIAS</c:v>
                </c:pt>
                <c:pt idx="5">
                  <c:v>CANTABRIA</c:v>
                </c:pt>
                <c:pt idx="6">
                  <c:v>CASTILLA - LEÓN</c:v>
                </c:pt>
                <c:pt idx="7">
                  <c:v>CASTILLA - LA MANCHA</c:v>
                </c:pt>
                <c:pt idx="8">
                  <c:v>CATALUÑA</c:v>
                </c:pt>
                <c:pt idx="9">
                  <c:v>C. VALENCIANA</c:v>
                </c:pt>
                <c:pt idx="10">
                  <c:v>EXTREMADURA</c:v>
                </c:pt>
                <c:pt idx="11">
                  <c:v>GALICIA</c:v>
                </c:pt>
                <c:pt idx="12">
                  <c:v>MADRID, COMUNIDAD</c:v>
                </c:pt>
                <c:pt idx="13">
                  <c:v>MURCIA, REGIÓN</c:v>
                </c:pt>
                <c:pt idx="14">
                  <c:v>NAVARRA, COM. FORAL</c:v>
                </c:pt>
                <c:pt idx="15">
                  <c:v>PAÍS VASCO</c:v>
                </c:pt>
                <c:pt idx="16">
                  <c:v>LA RIOJA</c:v>
                </c:pt>
              </c:strCache>
            </c:strRef>
          </c:cat>
          <c:val>
            <c:numRef>
              <c:f>'Lanzamientos E.hipotecaria TSJ'!$C$55:$C$71</c:f>
              <c:numCache>
                <c:formatCode>#,##0.0</c:formatCode>
                <c:ptCount val="17"/>
                <c:pt idx="0">
                  <c:v>21.823184761724029</c:v>
                </c:pt>
                <c:pt idx="1">
                  <c:v>19.905584194966149</c:v>
                </c:pt>
                <c:pt idx="2">
                  <c:v>12.947325141926402</c:v>
                </c:pt>
                <c:pt idx="3">
                  <c:v>13.469643855796381</c:v>
                </c:pt>
                <c:pt idx="4">
                  <c:v>23.010257052183583</c:v>
                </c:pt>
                <c:pt idx="5">
                  <c:v>21.385543714617619</c:v>
                </c:pt>
                <c:pt idx="6">
                  <c:v>16.532816591898332</c:v>
                </c:pt>
                <c:pt idx="7">
                  <c:v>25.176110798307153</c:v>
                </c:pt>
                <c:pt idx="8">
                  <c:v>22.747876499897853</c:v>
                </c:pt>
                <c:pt idx="9">
                  <c:v>43.336105104289366</c:v>
                </c:pt>
                <c:pt idx="10">
                  <c:v>9.815941655552944</c:v>
                </c:pt>
                <c:pt idx="11">
                  <c:v>12.464549300816687</c:v>
                </c:pt>
                <c:pt idx="12">
                  <c:v>8.0133296777145446</c:v>
                </c:pt>
                <c:pt idx="13">
                  <c:v>61.179358914076253</c:v>
                </c:pt>
                <c:pt idx="14">
                  <c:v>5.2907093631951048</c:v>
                </c:pt>
                <c:pt idx="15">
                  <c:v>7.6332671331842503</c:v>
                </c:pt>
                <c:pt idx="16">
                  <c:v>17.823862712479205</c:v>
                </c:pt>
              </c:numCache>
            </c:numRef>
          </c:val>
          <c:extLst>
            <c:ext xmlns:c16="http://schemas.microsoft.com/office/drawing/2014/chart" uri="{C3380CC4-5D6E-409C-BE32-E72D297353CC}">
              <c16:uniqueId val="{00000000-7CD0-44CC-A41F-83F09ADEB9C4}"/>
            </c:ext>
          </c:extLst>
        </c:ser>
        <c:dLbls>
          <c:showLegendKey val="0"/>
          <c:showVal val="0"/>
          <c:showCatName val="0"/>
          <c:showSerName val="0"/>
          <c:showPercent val="0"/>
          <c:showBubbleSize val="0"/>
        </c:dLbls>
        <c:gapWidth val="219"/>
        <c:overlap val="-27"/>
        <c:axId val="743087712"/>
        <c:axId val="743088040"/>
      </c:barChart>
      <c:catAx>
        <c:axId val="74308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50" b="1" i="0" u="none" strike="noStrike" kern="1200" baseline="0">
                <a:solidFill>
                  <a:schemeClr val="tx1">
                    <a:lumMod val="65000"/>
                    <a:lumOff val="35000"/>
                  </a:schemeClr>
                </a:solidFill>
                <a:latin typeface="Verdana" panose="020B0604030504040204" pitchFamily="34" charset="0"/>
                <a:ea typeface="+mn-ea"/>
                <a:cs typeface="+mn-cs"/>
              </a:defRPr>
            </a:pPr>
            <a:endParaRPr lang="es-ES"/>
          </a:p>
        </c:txPr>
        <c:crossAx val="743088040"/>
        <c:crosses val="autoZero"/>
        <c:auto val="1"/>
        <c:lblAlgn val="ctr"/>
        <c:lblOffset val="100"/>
        <c:noMultiLvlLbl val="0"/>
      </c:catAx>
      <c:valAx>
        <c:axId val="743088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ES"/>
          </a:p>
        </c:txPr>
        <c:crossAx val="743087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t>Lanzamientos derivados de la L.A.U. practicados en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5.8324527615866206E-2"/>
          <c:y val="0.18377551020408167"/>
          <c:w val="0.92435945506811645"/>
          <c:h val="0.7492067063045690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'Lanzamientos L.A.U  TSJ'!$B$7:$B$23</c:f>
              <c:strCache>
                <c:ptCount val="17"/>
                <c:pt idx="0">
                  <c:v>ANDALUCÍA</c:v>
                </c:pt>
                <c:pt idx="1">
                  <c:v>ARAGÓN</c:v>
                </c:pt>
                <c:pt idx="2">
                  <c:v>ASTURIAS, PRINCIPADO</c:v>
                </c:pt>
                <c:pt idx="3">
                  <c:v>ILLES BALEARS</c:v>
                </c:pt>
                <c:pt idx="4">
                  <c:v>CANARIAS</c:v>
                </c:pt>
                <c:pt idx="5">
                  <c:v>CANTABRIA</c:v>
                </c:pt>
                <c:pt idx="6">
                  <c:v>CASTILLA Y LEÓN</c:v>
                </c:pt>
                <c:pt idx="7">
                  <c:v>CASTILLA - LA MANCHA</c:v>
                </c:pt>
                <c:pt idx="8">
                  <c:v>CATALUÑA</c:v>
                </c:pt>
                <c:pt idx="9">
                  <c:v>COMUNITAT VALENCIANA</c:v>
                </c:pt>
                <c:pt idx="10">
                  <c:v>EXTREMADURA</c:v>
                </c:pt>
                <c:pt idx="11">
                  <c:v>GALICIA</c:v>
                </c:pt>
                <c:pt idx="12">
                  <c:v>MADRID, COMUNIDAD</c:v>
                </c:pt>
                <c:pt idx="13">
                  <c:v>MURCIA, REGIÓN</c:v>
                </c:pt>
                <c:pt idx="14">
                  <c:v>NAVARRA, COM. FORAL</c:v>
                </c:pt>
                <c:pt idx="15">
                  <c:v>PAÍS VASCO</c:v>
                </c:pt>
                <c:pt idx="16">
                  <c:v>LA RIOJA</c:v>
                </c:pt>
              </c:strCache>
            </c:strRef>
          </c:cat>
          <c:val>
            <c:numRef>
              <c:f>'Lanzamientos L.A.U  TSJ'!$D$7:$D$23</c:f>
              <c:numCache>
                <c:formatCode>#,##0</c:formatCode>
                <c:ptCount val="17"/>
                <c:pt idx="0">
                  <c:v>4315</c:v>
                </c:pt>
                <c:pt idx="1">
                  <c:v>569</c:v>
                </c:pt>
                <c:pt idx="2">
                  <c:v>598</c:v>
                </c:pt>
                <c:pt idx="3">
                  <c:v>1156</c:v>
                </c:pt>
                <c:pt idx="4">
                  <c:v>2154</c:v>
                </c:pt>
                <c:pt idx="5">
                  <c:v>410</c:v>
                </c:pt>
                <c:pt idx="6">
                  <c:v>1133</c:v>
                </c:pt>
                <c:pt idx="7">
                  <c:v>941</c:v>
                </c:pt>
                <c:pt idx="8">
                  <c:v>6729</c:v>
                </c:pt>
                <c:pt idx="9">
                  <c:v>3807</c:v>
                </c:pt>
                <c:pt idx="10">
                  <c:v>310</c:v>
                </c:pt>
                <c:pt idx="11">
                  <c:v>1294</c:v>
                </c:pt>
                <c:pt idx="12">
                  <c:v>3327</c:v>
                </c:pt>
                <c:pt idx="13">
                  <c:v>1223</c:v>
                </c:pt>
                <c:pt idx="14">
                  <c:v>201</c:v>
                </c:pt>
                <c:pt idx="15">
                  <c:v>659</c:v>
                </c:pt>
                <c:pt idx="16">
                  <c:v>167</c:v>
                </c:pt>
              </c:numCache>
            </c:numRef>
          </c:val>
          <c:extLst>
            <c:ext xmlns:c16="http://schemas.microsoft.com/office/drawing/2014/chart" uri="{C3380CC4-5D6E-409C-BE32-E72D297353CC}">
              <c16:uniqueId val="{00000000-F56D-4A5D-A1FE-CEBC529C18C3}"/>
            </c:ext>
          </c:extLst>
        </c:ser>
        <c:dLbls>
          <c:showLegendKey val="0"/>
          <c:showVal val="0"/>
          <c:showCatName val="0"/>
          <c:showSerName val="0"/>
          <c:showPercent val="0"/>
          <c:showBubbleSize val="0"/>
        </c:dLbls>
        <c:gapWidth val="219"/>
        <c:overlap val="-27"/>
        <c:axId val="743087712"/>
        <c:axId val="743088040"/>
      </c:barChart>
      <c:catAx>
        <c:axId val="74308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Verdana" panose="020B0604030504040204" pitchFamily="34" charset="0"/>
                <a:ea typeface="+mn-ea"/>
                <a:cs typeface="+mn-cs"/>
              </a:defRPr>
            </a:pPr>
            <a:endParaRPr lang="es-ES"/>
          </a:p>
        </c:txPr>
        <c:crossAx val="743088040"/>
        <c:crosses val="autoZero"/>
        <c:auto val="1"/>
        <c:lblAlgn val="ctr"/>
        <c:lblOffset val="100"/>
        <c:noMultiLvlLbl val="0"/>
      </c:catAx>
      <c:valAx>
        <c:axId val="743088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ES"/>
          </a:p>
        </c:txPr>
        <c:crossAx val="743087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1"/>
              <a:t>Demandas de despido presentadas en 2021 por cada 100.000 habitantes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'Despidos presentados TSJ'!$B$53:$B$69</c:f>
              <c:strCache>
                <c:ptCount val="17"/>
                <c:pt idx="0">
                  <c:v>ANDALUCÍA</c:v>
                </c:pt>
                <c:pt idx="1">
                  <c:v>ARAGÓN</c:v>
                </c:pt>
                <c:pt idx="2">
                  <c:v>ASTURIAS, PRINCIPADO</c:v>
                </c:pt>
                <c:pt idx="3">
                  <c:v>ILLES BALEARS</c:v>
                </c:pt>
                <c:pt idx="4">
                  <c:v>CANARIAS</c:v>
                </c:pt>
                <c:pt idx="5">
                  <c:v>CANTABRIA</c:v>
                </c:pt>
                <c:pt idx="6">
                  <c:v>CASTILLA - LEÓN</c:v>
                </c:pt>
                <c:pt idx="7">
                  <c:v>CASTILLA - LA MANCHA</c:v>
                </c:pt>
                <c:pt idx="8">
                  <c:v>CATALUÑA</c:v>
                </c:pt>
                <c:pt idx="9">
                  <c:v>C. VALENCIANA</c:v>
                </c:pt>
                <c:pt idx="10">
                  <c:v>EXTREMADURA</c:v>
                </c:pt>
                <c:pt idx="11">
                  <c:v>GALICIA</c:v>
                </c:pt>
                <c:pt idx="12">
                  <c:v>MADRID, COMUNIDAD</c:v>
                </c:pt>
                <c:pt idx="13">
                  <c:v>MURCIA, REGIÓN</c:v>
                </c:pt>
                <c:pt idx="14">
                  <c:v>NAVARRA, COM. FORAL</c:v>
                </c:pt>
                <c:pt idx="15">
                  <c:v>PAÍS VASCO</c:v>
                </c:pt>
                <c:pt idx="16">
                  <c:v>LA RIOJA</c:v>
                </c:pt>
              </c:strCache>
            </c:strRef>
          </c:cat>
          <c:val>
            <c:numRef>
              <c:f>'Despidos presentados TSJ'!$C$53:$C$69</c:f>
              <c:numCache>
                <c:formatCode>#,##0.0</c:formatCode>
                <c:ptCount val="17"/>
                <c:pt idx="0">
                  <c:v>202.30994823647029</c:v>
                </c:pt>
                <c:pt idx="1">
                  <c:v>202.44883925562164</c:v>
                </c:pt>
                <c:pt idx="2">
                  <c:v>221.8835491879754</c:v>
                </c:pt>
                <c:pt idx="3">
                  <c:v>200.85114509022958</c:v>
                </c:pt>
                <c:pt idx="4">
                  <c:v>374.1928001826094</c:v>
                </c:pt>
                <c:pt idx="5">
                  <c:v>161.6747104825092</c:v>
                </c:pt>
                <c:pt idx="6">
                  <c:v>181.35744494970709</c:v>
                </c:pt>
                <c:pt idx="7">
                  <c:v>162.18099281700188</c:v>
                </c:pt>
                <c:pt idx="8">
                  <c:v>280.7546524302229</c:v>
                </c:pt>
                <c:pt idx="9">
                  <c:v>263.21939021829775</c:v>
                </c:pt>
                <c:pt idx="10">
                  <c:v>140.0659367003901</c:v>
                </c:pt>
                <c:pt idx="11">
                  <c:v>179.95693053054092</c:v>
                </c:pt>
                <c:pt idx="12">
                  <c:v>362.09585453125652</c:v>
                </c:pt>
                <c:pt idx="13">
                  <c:v>207.97030726657999</c:v>
                </c:pt>
                <c:pt idx="14">
                  <c:v>156.30267090124966</c:v>
                </c:pt>
                <c:pt idx="15">
                  <c:v>238.70897514129447</c:v>
                </c:pt>
                <c:pt idx="16">
                  <c:v>135.39881674567536</c:v>
                </c:pt>
              </c:numCache>
            </c:numRef>
          </c:val>
          <c:extLst>
            <c:ext xmlns:c16="http://schemas.microsoft.com/office/drawing/2014/chart" uri="{C3380CC4-5D6E-409C-BE32-E72D297353CC}">
              <c16:uniqueId val="{00000000-7B16-4E37-9380-FE9842B494BC}"/>
            </c:ext>
          </c:extLst>
        </c:ser>
        <c:dLbls>
          <c:showLegendKey val="0"/>
          <c:showVal val="0"/>
          <c:showCatName val="0"/>
          <c:showSerName val="0"/>
          <c:showPercent val="0"/>
          <c:showBubbleSize val="0"/>
        </c:dLbls>
        <c:gapWidth val="219"/>
        <c:overlap val="-27"/>
        <c:axId val="743087712"/>
        <c:axId val="743088040"/>
      </c:barChart>
      <c:catAx>
        <c:axId val="74308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57" b="1" i="0" u="none" strike="noStrike" kern="1200" baseline="0">
                <a:solidFill>
                  <a:schemeClr val="tx1">
                    <a:lumMod val="65000"/>
                    <a:lumOff val="35000"/>
                  </a:schemeClr>
                </a:solidFill>
                <a:latin typeface="Verdana" panose="020B0604030504040204" pitchFamily="34" charset="0"/>
                <a:ea typeface="+mn-ea"/>
                <a:cs typeface="+mn-cs"/>
              </a:defRPr>
            </a:pPr>
            <a:endParaRPr lang="es-ES"/>
          </a:p>
        </c:txPr>
        <c:crossAx val="743088040"/>
        <c:crosses val="autoZero"/>
        <c:auto val="1"/>
        <c:lblAlgn val="ctr"/>
        <c:lblOffset val="100"/>
        <c:noMultiLvlLbl val="0"/>
      </c:catAx>
      <c:valAx>
        <c:axId val="743088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ES"/>
          </a:p>
        </c:txPr>
        <c:crossAx val="743087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1"/>
              <a:t>Demandas de reclamación de cantidad presentadas en 2021 por cada 100.000 habitantes</a:t>
            </a:r>
          </a:p>
        </c:rich>
      </c:tx>
      <c:layout>
        <c:manualLayout>
          <c:xMode val="edge"/>
          <c:yMode val="edge"/>
          <c:x val="0.14633738964447629"/>
          <c:y val="1.62107396149949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'Recl. cantidad TSJ'!$B$52:$B$68</c:f>
              <c:strCache>
                <c:ptCount val="17"/>
                <c:pt idx="0">
                  <c:v>ANDALUCÍA</c:v>
                </c:pt>
                <c:pt idx="1">
                  <c:v>ARAGÓN</c:v>
                </c:pt>
                <c:pt idx="2">
                  <c:v>ASTURIAS, PRINCIPADO</c:v>
                </c:pt>
                <c:pt idx="3">
                  <c:v>ILLES BALEARS</c:v>
                </c:pt>
                <c:pt idx="4">
                  <c:v>CANARIAS</c:v>
                </c:pt>
                <c:pt idx="5">
                  <c:v>CANTABRIA</c:v>
                </c:pt>
                <c:pt idx="6">
                  <c:v>CASTILLA - LEÓN</c:v>
                </c:pt>
                <c:pt idx="7">
                  <c:v>CASTILLA - LA MANCHA</c:v>
                </c:pt>
                <c:pt idx="8">
                  <c:v>CATALUÑA</c:v>
                </c:pt>
                <c:pt idx="9">
                  <c:v>C. VALENCIANA</c:v>
                </c:pt>
                <c:pt idx="10">
                  <c:v>EXTREMADURA</c:v>
                </c:pt>
                <c:pt idx="11">
                  <c:v>GALICIA</c:v>
                </c:pt>
                <c:pt idx="12">
                  <c:v>MADRID, COMUNIDAD</c:v>
                </c:pt>
                <c:pt idx="13">
                  <c:v>MURCIA, REGIÓN</c:v>
                </c:pt>
                <c:pt idx="14">
                  <c:v>NAVARRA, COM. FORAL</c:v>
                </c:pt>
                <c:pt idx="15">
                  <c:v>PAÍS VASCO</c:v>
                </c:pt>
                <c:pt idx="16">
                  <c:v>LA RIOJA</c:v>
                </c:pt>
              </c:strCache>
            </c:strRef>
          </c:cat>
          <c:val>
            <c:numRef>
              <c:f>'Recl. cantidad TSJ'!$C$52:$C$68</c:f>
              <c:numCache>
                <c:formatCode>#,##0.0</c:formatCode>
                <c:ptCount val="17"/>
                <c:pt idx="0">
                  <c:v>240.85344157756398</c:v>
                </c:pt>
                <c:pt idx="1">
                  <c:v>203.42903847734348</c:v>
                </c:pt>
                <c:pt idx="2">
                  <c:v>382.09434350143113</c:v>
                </c:pt>
                <c:pt idx="3">
                  <c:v>199.31662870159454</c:v>
                </c:pt>
                <c:pt idx="4">
                  <c:v>349.70988667908608</c:v>
                </c:pt>
                <c:pt idx="5">
                  <c:v>335.66749414463811</c:v>
                </c:pt>
                <c:pt idx="6">
                  <c:v>288.6529069433214</c:v>
                </c:pt>
                <c:pt idx="7">
                  <c:v>217.2171420039989</c:v>
                </c:pt>
                <c:pt idx="8">
                  <c:v>185.52529174860067</c:v>
                </c:pt>
                <c:pt idx="9">
                  <c:v>210.69017887610028</c:v>
                </c:pt>
                <c:pt idx="10">
                  <c:v>184.23767415037835</c:v>
                </c:pt>
                <c:pt idx="11">
                  <c:v>310.87179506203523</c:v>
                </c:pt>
                <c:pt idx="12">
                  <c:v>344.57317614172541</c:v>
                </c:pt>
                <c:pt idx="13">
                  <c:v>146.06654259571704</c:v>
                </c:pt>
                <c:pt idx="14">
                  <c:v>161.13989089045663</c:v>
                </c:pt>
                <c:pt idx="15">
                  <c:v>405.42133602048426</c:v>
                </c:pt>
                <c:pt idx="16">
                  <c:v>252.3483720872056</c:v>
                </c:pt>
              </c:numCache>
            </c:numRef>
          </c:val>
          <c:extLst>
            <c:ext xmlns:c16="http://schemas.microsoft.com/office/drawing/2014/chart" uri="{C3380CC4-5D6E-409C-BE32-E72D297353CC}">
              <c16:uniqueId val="{00000000-8D23-4E93-9E62-19E81479581E}"/>
            </c:ext>
          </c:extLst>
        </c:ser>
        <c:dLbls>
          <c:showLegendKey val="0"/>
          <c:showVal val="0"/>
          <c:showCatName val="0"/>
          <c:showSerName val="0"/>
          <c:showPercent val="0"/>
          <c:showBubbleSize val="0"/>
        </c:dLbls>
        <c:gapWidth val="219"/>
        <c:overlap val="-27"/>
        <c:axId val="743087712"/>
        <c:axId val="743088040"/>
      </c:barChart>
      <c:catAx>
        <c:axId val="74308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6,5"/>
                <a:ea typeface="+mn-ea"/>
                <a:cs typeface="+mn-cs"/>
              </a:defRPr>
            </a:pPr>
            <a:endParaRPr lang="es-ES"/>
          </a:p>
        </c:txPr>
        <c:crossAx val="743088040"/>
        <c:crosses val="autoZero"/>
        <c:auto val="1"/>
        <c:lblAlgn val="ctr"/>
        <c:lblOffset val="100"/>
        <c:noMultiLvlLbl val="0"/>
      </c:catAx>
      <c:valAx>
        <c:axId val="743088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ES"/>
          </a:p>
        </c:txPr>
        <c:crossAx val="743087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S" sz="1200" b="1"/>
              <a:t>Verbales posesorios por ocupación ilegal de viviendas en 2021 por cada 100.000 habitantes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'Verb. pos. ocupac ING'!$B$52:$B$68</c:f>
              <c:strCache>
                <c:ptCount val="17"/>
                <c:pt idx="0">
                  <c:v>ANDALUCÍA</c:v>
                </c:pt>
                <c:pt idx="1">
                  <c:v>ARAGÓN</c:v>
                </c:pt>
                <c:pt idx="2">
                  <c:v>ASTURIAS, PRINCIPADO</c:v>
                </c:pt>
                <c:pt idx="3">
                  <c:v>ILLES BALEARS</c:v>
                </c:pt>
                <c:pt idx="4">
                  <c:v>CANARIAS</c:v>
                </c:pt>
                <c:pt idx="5">
                  <c:v>CANTABRIA</c:v>
                </c:pt>
                <c:pt idx="6">
                  <c:v>CASTILLA - LEÓN</c:v>
                </c:pt>
                <c:pt idx="7">
                  <c:v>CASTILLA - LA MANCHA</c:v>
                </c:pt>
                <c:pt idx="8">
                  <c:v>CATALUÑA</c:v>
                </c:pt>
                <c:pt idx="9">
                  <c:v>C. VALENCIANA</c:v>
                </c:pt>
                <c:pt idx="10">
                  <c:v>EXTREMADURA</c:v>
                </c:pt>
                <c:pt idx="11">
                  <c:v>GALICIA</c:v>
                </c:pt>
                <c:pt idx="12">
                  <c:v>MADRID, COMUNIDAD</c:v>
                </c:pt>
                <c:pt idx="13">
                  <c:v>MURCIA, REGIÓN</c:v>
                </c:pt>
                <c:pt idx="14">
                  <c:v>NAVARRA, COM. FORAL</c:v>
                </c:pt>
                <c:pt idx="15">
                  <c:v>PAÍS VASCO</c:v>
                </c:pt>
                <c:pt idx="16">
                  <c:v>LA RIOJA</c:v>
                </c:pt>
              </c:strCache>
            </c:strRef>
          </c:cat>
          <c:val>
            <c:numRef>
              <c:f>'Verb. pos. ocupac ING'!$C$52:$C$68</c:f>
              <c:numCache>
                <c:formatCode>#,##0.0</c:formatCode>
                <c:ptCount val="17"/>
                <c:pt idx="0">
                  <c:v>9.4189143139148257</c:v>
                </c:pt>
                <c:pt idx="1">
                  <c:v>3.1667974855627965</c:v>
                </c:pt>
                <c:pt idx="2">
                  <c:v>1.877856318294669</c:v>
                </c:pt>
                <c:pt idx="3">
                  <c:v>13.895898408195</c:v>
                </c:pt>
                <c:pt idx="4">
                  <c:v>7.2252207143856442</c:v>
                </c:pt>
                <c:pt idx="5">
                  <c:v>3.9349400434896413</c:v>
                </c:pt>
                <c:pt idx="6">
                  <c:v>4.0283004893965479</c:v>
                </c:pt>
                <c:pt idx="7">
                  <c:v>11.221909851958612</c:v>
                </c:pt>
                <c:pt idx="8">
                  <c:v>11.979346061667613</c:v>
                </c:pt>
                <c:pt idx="9">
                  <c:v>8.3627611583551094</c:v>
                </c:pt>
                <c:pt idx="10">
                  <c:v>3.1146737945504537</c:v>
                </c:pt>
                <c:pt idx="11">
                  <c:v>2.8935560876895883</c:v>
                </c:pt>
                <c:pt idx="12">
                  <c:v>3.8955743165229677</c:v>
                </c:pt>
                <c:pt idx="13">
                  <c:v>7.5733329118608923</c:v>
                </c:pt>
                <c:pt idx="14">
                  <c:v>1.8139574959526072</c:v>
                </c:pt>
                <c:pt idx="15">
                  <c:v>3.1617082800171454</c:v>
                </c:pt>
                <c:pt idx="16">
                  <c:v>3.4396928041626538</c:v>
                </c:pt>
              </c:numCache>
            </c:numRef>
          </c:val>
          <c:extLst>
            <c:ext xmlns:c16="http://schemas.microsoft.com/office/drawing/2014/chart" uri="{C3380CC4-5D6E-409C-BE32-E72D297353CC}">
              <c16:uniqueId val="{00000000-AB54-4A74-8477-A18EAF356BEC}"/>
            </c:ext>
          </c:extLst>
        </c:ser>
        <c:dLbls>
          <c:showLegendKey val="0"/>
          <c:showVal val="0"/>
          <c:showCatName val="0"/>
          <c:showSerName val="0"/>
          <c:showPercent val="0"/>
          <c:showBubbleSize val="0"/>
        </c:dLbls>
        <c:gapWidth val="219"/>
        <c:overlap val="-27"/>
        <c:axId val="743087712"/>
        <c:axId val="743088040"/>
      </c:barChart>
      <c:catAx>
        <c:axId val="74308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50" b="1" i="0" u="none" strike="noStrike" kern="1200" baseline="0">
                <a:solidFill>
                  <a:schemeClr val="tx1">
                    <a:lumMod val="65000"/>
                    <a:lumOff val="35000"/>
                  </a:schemeClr>
                </a:solidFill>
                <a:latin typeface="Verdana" panose="020B0604030504040204" pitchFamily="34" charset="0"/>
                <a:ea typeface="+mn-ea"/>
                <a:cs typeface="+mn-cs"/>
              </a:defRPr>
            </a:pPr>
            <a:endParaRPr lang="es-ES"/>
          </a:p>
        </c:txPr>
        <c:crossAx val="743088040"/>
        <c:crosses val="autoZero"/>
        <c:auto val="1"/>
        <c:lblAlgn val="ctr"/>
        <c:lblOffset val="100"/>
        <c:noMultiLvlLbl val="0"/>
      </c:catAx>
      <c:valAx>
        <c:axId val="743088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ES"/>
          </a:p>
        </c:txPr>
        <c:crossAx val="743087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9F311-5FDF-4488-BE10-FBEB897BE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14</Pages>
  <Words>2304</Words>
  <Characters>12677</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El CGPJ informa</vt:lpstr>
    </vt:vector>
  </TitlesOfParts>
  <Company>CENDOJ</Company>
  <LinksUpToDate>false</LinksUpToDate>
  <CharactersWithSpaces>14952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CGPJ informa</dc:title>
  <dc:creator>azurita</dc:creator>
  <cp:lastModifiedBy>Susana Nieves Colli</cp:lastModifiedBy>
  <cp:revision>67</cp:revision>
  <cp:lastPrinted>2017-11-30T13:23:00Z</cp:lastPrinted>
  <dcterms:created xsi:type="dcterms:W3CDTF">2022-02-28T08:40:00Z</dcterms:created>
  <dcterms:modified xsi:type="dcterms:W3CDTF">2022-03-01T11:28:00Z</dcterms:modified>
</cp:coreProperties>
</file>